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  <w:lang w:val="en-US" w:eastAsia="zh-CN"/>
        </w:rPr>
        <w:t>关于《</w:t>
      </w: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鼎湖区义务教育</w:t>
      </w:r>
      <w:r>
        <w:rPr>
          <w:rFonts w:hint="eastAsia" w:ascii="Times New Roman" w:hAnsi="Times New Roman" w:eastAsia="方正小标宋简体" w:cs="Times New Roman"/>
          <w:sz w:val="44"/>
          <w:szCs w:val="52"/>
          <w:lang w:val="en-US" w:eastAsia="zh-CN"/>
        </w:rPr>
        <w:t>阶段部分公办学校</w:t>
      </w: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学区</w:t>
      </w:r>
      <w:r>
        <w:rPr>
          <w:rFonts w:hint="eastAsia" w:ascii="Times New Roman" w:hAnsi="Times New Roman" w:eastAsia="方正小标宋简体" w:cs="Times New Roman"/>
          <w:sz w:val="44"/>
          <w:szCs w:val="52"/>
          <w:lang w:val="en-US" w:eastAsia="zh-CN"/>
        </w:rPr>
        <w:t>划分</w:t>
      </w: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调整方案（征求意见稿）</w:t>
      </w:r>
      <w:r>
        <w:rPr>
          <w:rFonts w:hint="eastAsia" w:ascii="Times New Roman" w:hAnsi="Times New Roman" w:eastAsia="方正小标宋简体" w:cs="Times New Roman"/>
          <w:sz w:val="44"/>
          <w:szCs w:val="52"/>
          <w:lang w:val="en-US" w:eastAsia="zh-CN"/>
        </w:rPr>
        <w:t>》的起草说明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为切实做好鼎湖区2023年秋季义务教育阶段学校招生入学工作，根据《中华人民共和国义务教育法》《广东省教育厅关于进一步规范普通中小学招生入学工作的指导意见》（粤教基〔2020〕3号）和省、市有关做好中小学招生入学工作的要求，结合我区实际，特制定本方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一、起草背景和依据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（一）起草背景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随着经济和社会快速发展以及人口政策变化，近年到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鼎湖区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购房、落户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和工作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的人数陡增，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我区适龄儿童入学人数大幅增长，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个别片区、学校学位供需矛盾日益凸显。同时，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通过实施“两个工程”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，2021-2025年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新建、改扩建学校11所，原有学区划分已不适应学校发展和学生就学需要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。为进一步增强学区划分的科学性、合理性和透明度，确保符合条件的适龄儿童少年免试就近入学，均衡配置教育资源，促进教育公平，办好人民满意的教育。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（二）起草主要政策依据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《中华人民共和国义务教育法》；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2.《广东省教育厅关于进一步规范普通中小学招生入学工作的指导意见》（粤教基〔2020〕3号）。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三、起草过程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2022年12月，区教育局结合学区内户籍人口情况、小区入住率、适龄儿童数量分布情况和新建、改扩建学校布局，进行数据分析；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月，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教育局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组成专项工作小组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学区调整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涉及的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镇（街道）进行实地调研，召开座谈会广泛听取意见建议并修改完善；2023年2月，区教育局将学区划分调整草案向各镇（街道）、各义务教育阶段公办中小学校征求意见建议。在实地走访调研和征求意见建议的基础上，多次讨论完善，形成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《鼎湖区义务教育阶段部分公办学校学区划分调整方案（征求意见稿）》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四、主要内容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本方案共分为四部分：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第一部分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调整背景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阐明了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学区调整方案制定的原因和背景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第二部分“调整原则”阐明了学区调整的基本原则，坚持就近入学原则、相对稳定原则，综合考虑适龄学生人数、学校布局等情况，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统筹公办义务教育学校的资源配置状况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进行调整。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第三部分“调整内容”具体阐述了学区调整的内容，包括坑口街道、桂城街道、肇庆新区和广利街道的学校服务范围调整。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第四部分“其他内容”明确了方案执行时间等工作要点。</w:t>
      </w:r>
    </w:p>
    <w:p>
      <w:pPr>
        <w:numPr>
          <w:ilvl w:val="0"/>
          <w:numId w:val="0"/>
        </w:numPr>
        <w:ind w:firstLine="1600" w:firstLineChars="5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jc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    肇庆市鼎湖区教育局</w:t>
      </w:r>
    </w:p>
    <w:p>
      <w:pPr>
        <w:numPr>
          <w:ilvl w:val="0"/>
          <w:numId w:val="0"/>
        </w:numPr>
        <w:ind w:firstLine="1600" w:firstLineChars="50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    2023年3月10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B5CB8"/>
    <w:rsid w:val="0B262DA6"/>
    <w:rsid w:val="1E5939D1"/>
    <w:rsid w:val="230E7B93"/>
    <w:rsid w:val="2AFE0808"/>
    <w:rsid w:val="355C175E"/>
    <w:rsid w:val="40DF47FC"/>
    <w:rsid w:val="46E86248"/>
    <w:rsid w:val="4D303E53"/>
    <w:rsid w:val="56DB70A3"/>
    <w:rsid w:val="5FA84AA5"/>
    <w:rsid w:val="6E7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2023-02-22T02:03:00Z</dcterms:created>
  <dc:creator>DHJS07</dc:creator>
  <cp:lastModifiedBy>01</cp:lastModifiedBy>
  <dcterms:modified xsi:type="dcterms:W3CDTF">2023-03-10T01:20:08Z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