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附件2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  <w:t>校园招聘高校名单及条件</w:t>
      </w:r>
    </w:p>
    <w:tbl>
      <w:tblPr>
        <w:tblStyle w:val="2"/>
        <w:tblW w:w="829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331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3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3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甘肃中医药大学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左江民族医学院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济南医学院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皖南医学院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NzI2OTg5YTFmYzQyYjQ5YTIyZGUwMDAyMWExZDQifQ=="/>
  </w:docVars>
  <w:rsids>
    <w:rsidRoot w:val="419A5B15"/>
    <w:rsid w:val="08803314"/>
    <w:rsid w:val="411D76C8"/>
    <w:rsid w:val="419A5B15"/>
    <w:rsid w:val="60D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428</Characters>
  <Lines>0</Lines>
  <Paragraphs>0</Paragraphs>
  <TotalTime>3</TotalTime>
  <ScaleCrop>false</ScaleCrop>
  <LinksUpToDate>false</LinksUpToDate>
  <CharactersWithSpaces>442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2023-01-04T07:54:00Z</dcterms:created>
  <dc:creator>塔拉</dc:creator>
  <cp:lastModifiedBy>Administrator</cp:lastModifiedBy>
  <dcterms:modified xsi:type="dcterms:W3CDTF">2023-03-07T00:49:34Z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3860E80947024CB695F7FFDB0B5EA6F6</vt:lpwstr>
  </property>
</Properties>
</file>