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ind w:right="64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 xml:space="preserve">  </w:t>
      </w:r>
    </w:p>
    <w:tbl>
      <w:tblPr>
        <w:tblStyle w:val="5"/>
        <w:tblpPr w:leftFromText="180" w:rightFromText="180" w:vertAnchor="text" w:horzAnchor="page" w:tblpX="1537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95"/>
        <w:gridCol w:w="2543"/>
        <w:gridCol w:w="1815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25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25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上级单位</w:t>
            </w:r>
          </w:p>
        </w:tc>
        <w:tc>
          <w:tcPr>
            <w:tcW w:w="3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所在部门及职务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直接下属人数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起止年月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pStyle w:val="2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年    月至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所在单位和部门介绍</w:t>
            </w:r>
          </w:p>
        </w:tc>
        <w:tc>
          <w:tcPr>
            <w:tcW w:w="8505" w:type="dxa"/>
            <w:gridSpan w:val="4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（不超过200字）</w:t>
            </w: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核心工作职责</w:t>
            </w:r>
          </w:p>
        </w:tc>
        <w:tc>
          <w:tcPr>
            <w:tcW w:w="8505" w:type="dxa"/>
            <w:gridSpan w:val="4"/>
            <w:noWrap w:val="0"/>
            <w:vAlign w:val="top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（不超过200字）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绩</w:t>
            </w:r>
          </w:p>
        </w:tc>
        <w:tc>
          <w:tcPr>
            <w:tcW w:w="850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关键工作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重大项目、重要任务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重要工作创新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解决复杂问题、应对突发事件等方面的工作情况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不超过400字)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widowControl/>
        <w:spacing w:beforeAutospacing="0" w:afterAutospacing="0" w:line="560" w:lineRule="exact"/>
        <w:jc w:val="center"/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履职能力评价表</w:t>
      </w:r>
    </w:p>
    <w:p>
      <w:pPr>
        <w:spacing w:line="400" w:lineRule="exact"/>
        <w:rPr>
          <w:rFonts w:hint="default" w:ascii="Times New Roman" w:hAnsi="Times New Roman" w:eastAsia="Times New Roman" w:cs="Times New Roman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注：表格可复制填写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</w:rPr>
        <w:t>与报考职位较为相关的其它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eastAsia="zh-CN"/>
        </w:rPr>
        <w:t>履职能力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情况，工作经历较短可补充在校表现。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367D5F9C"/>
    <w:rsid w:val="367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2023-02-21T08:46:00Z</dcterms:created>
  <dc:creator>吴婷婷</dc:creator>
  <cp:lastModifiedBy>吴婷婷</cp:lastModifiedBy>
  <dcterms:modified xsi:type="dcterms:W3CDTF">2023-02-21T08:46:57Z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A44F315734BF4BDE9703A2EED73DB9EC</vt:lpwstr>
  </property>
</Properties>
</file>