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319" w:type="dxa"/>
        <w:jc w:val="center"/>
        <w:tblLayout w:type="autofit"/>
        <w:tblCellMar>
          <w:top w:w="0" w:type="dxa"/>
          <w:left w:w="108" w:type="dxa"/>
          <w:bottom w:w="0" w:type="dxa"/>
          <w:right w:w="108" w:type="dxa"/>
        </w:tblCellMar>
      </w:tblPr>
      <w:tblGrid>
        <w:gridCol w:w="801"/>
        <w:gridCol w:w="1328"/>
        <w:gridCol w:w="1114"/>
        <w:gridCol w:w="975"/>
        <w:gridCol w:w="5527"/>
        <w:gridCol w:w="5539"/>
        <w:gridCol w:w="35"/>
      </w:tblGrid>
      <w:tr>
        <w:tblPrEx>
          <w:tblCellMar>
            <w:top w:w="0" w:type="dxa"/>
            <w:left w:w="108" w:type="dxa"/>
            <w:bottom w:w="0" w:type="dxa"/>
            <w:right w:w="108" w:type="dxa"/>
          </w:tblCellMar>
        </w:tblPrEx>
        <w:trPr>
          <w:trHeight w:val="90" w:hRule="atLeast"/>
          <w:jc w:val="center"/>
        </w:trPr>
        <w:tc>
          <w:tcPr>
            <w:tcW w:w="15314" w:type="dxa"/>
            <w:gridSpan w:val="7"/>
            <w:tcBorders>
              <w:top w:val="nil"/>
              <w:left w:val="nil"/>
              <w:bottom w:val="nil"/>
              <w:right w:val="nil"/>
            </w:tcBorders>
            <w:noWrap/>
            <w:vAlign w:val="center"/>
          </w:tcPr>
          <w:p>
            <w:pPr>
              <w:widowControl/>
              <w:jc w:val="center"/>
              <w:textAlignment w:val="center"/>
              <w:rPr>
                <w:rFonts w:hint="eastAsia" w:ascii="宋体" w:hAnsi="宋体" w:cs="宋体"/>
                <w:b/>
                <w:bCs/>
                <w:color w:val="000000"/>
                <w:kern w:val="0"/>
                <w:sz w:val="44"/>
                <w:szCs w:val="44"/>
                <w:lang w:bidi="ar"/>
              </w:rPr>
            </w:pPr>
            <w:bookmarkStart w:id="0" w:name="_GoBack"/>
            <w:bookmarkEnd w:id="0"/>
            <w:r>
              <w:rPr>
                <w:rFonts w:hint="eastAsia" w:ascii="宋体" w:hAnsi="宋体" w:cs="宋体"/>
                <w:b/>
                <w:bCs/>
                <w:color w:val="000000"/>
                <w:kern w:val="0"/>
                <w:sz w:val="44"/>
                <w:szCs w:val="44"/>
                <w:lang w:bidi="ar"/>
              </w:rPr>
              <w:t>通化县国有资产投资控股集团有限公司招聘岗位条件一览表</w:t>
            </w:r>
          </w:p>
        </w:tc>
      </w:tr>
      <w:tr>
        <w:tblPrEx>
          <w:tblCellMar>
            <w:top w:w="0" w:type="dxa"/>
            <w:left w:w="108" w:type="dxa"/>
            <w:bottom w:w="0" w:type="dxa"/>
            <w:right w:w="108" w:type="dxa"/>
          </w:tblCellMar>
        </w:tblPrEx>
        <w:trPr>
          <w:gridAfter w:val="1"/>
          <w:wAfter w:w="35" w:type="dxa"/>
          <w:trHeight w:val="38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所属部门</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招聘岗位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招聘人数</w:t>
            </w:r>
          </w:p>
        </w:tc>
        <w:tc>
          <w:tcPr>
            <w:tcW w:w="5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岗位要求</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工作职责</w:t>
            </w:r>
          </w:p>
        </w:tc>
      </w:tr>
      <w:tr>
        <w:tblPrEx>
          <w:tblCellMar>
            <w:top w:w="0" w:type="dxa"/>
            <w:left w:w="108" w:type="dxa"/>
            <w:bottom w:w="0" w:type="dxa"/>
            <w:right w:w="108" w:type="dxa"/>
          </w:tblCellMar>
        </w:tblPrEx>
        <w:trPr>
          <w:gridAfter w:val="1"/>
          <w:wAfter w:w="35" w:type="dxa"/>
          <w:trHeight w:val="280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集团总部</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adjustRightInd w:val="0"/>
              <w:snapToGrid w:val="0"/>
              <w:spacing w:line="240" w:lineRule="exact"/>
              <w:jc w:val="center"/>
              <w:rPr>
                <w:rFonts w:hint="eastAsia" w:ascii="宋体" w:hAnsi="宋体" w:cs="宋体"/>
                <w:color w:val="000000"/>
                <w:kern w:val="0"/>
                <w:sz w:val="18"/>
                <w:szCs w:val="18"/>
                <w:lang w:bidi="ar"/>
              </w:rPr>
            </w:pPr>
            <w:r>
              <w:rPr>
                <w:rFonts w:hint="eastAsia" w:ascii="宋体" w:hAnsi="宋体" w:cs="宋体"/>
                <w:sz w:val="18"/>
                <w:szCs w:val="18"/>
              </w:rPr>
              <w:t>副总经理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sz w:val="18"/>
                <w:szCs w:val="18"/>
              </w:rPr>
              <w:t>1</w:t>
            </w:r>
          </w:p>
        </w:tc>
        <w:tc>
          <w:tcPr>
            <w:tcW w:w="5527"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240" w:lineRule="exact"/>
              <w:rPr>
                <w:rFonts w:ascii="宋体" w:hAnsi="宋体" w:cs="宋体"/>
                <w:color w:val="000000"/>
                <w:kern w:val="0"/>
                <w:sz w:val="18"/>
                <w:szCs w:val="18"/>
                <w:shd w:val="clear" w:color="auto" w:fill="FFFFFF"/>
                <w:lang w:bidi="ar"/>
              </w:rPr>
            </w:pPr>
            <w:r>
              <w:rPr>
                <w:rFonts w:hint="eastAsia" w:ascii="宋体" w:hAnsi="宋体" w:cs="宋体"/>
                <w:color w:val="000000"/>
                <w:kern w:val="0"/>
                <w:sz w:val="18"/>
                <w:szCs w:val="18"/>
                <w:shd w:val="clear" w:color="auto" w:fill="FFFFFF"/>
                <w:lang w:bidi="ar"/>
              </w:rPr>
              <w:t>1.年龄：45周岁以下；</w:t>
            </w:r>
          </w:p>
          <w:p>
            <w:pPr>
              <w:adjustRightInd w:val="0"/>
              <w:snapToGrid w:val="0"/>
              <w:spacing w:line="240" w:lineRule="exact"/>
              <w:rPr>
                <w:rFonts w:hint="eastAsia" w:ascii="宋体" w:hAnsi="宋体" w:cs="宋体"/>
                <w:color w:val="000000"/>
                <w:kern w:val="0"/>
                <w:sz w:val="18"/>
                <w:szCs w:val="18"/>
                <w:shd w:val="clear" w:color="auto" w:fill="FFFFFF"/>
                <w:lang w:bidi="ar"/>
              </w:rPr>
            </w:pPr>
            <w:r>
              <w:rPr>
                <w:rFonts w:hint="eastAsia" w:ascii="宋体" w:hAnsi="宋体" w:cs="宋体"/>
                <w:color w:val="000000"/>
                <w:kern w:val="0"/>
                <w:sz w:val="18"/>
                <w:szCs w:val="18"/>
                <w:shd w:val="clear" w:color="auto" w:fill="FFFFFF"/>
                <w:lang w:bidi="ar"/>
              </w:rPr>
              <w:t>2.学历：全日制大学本科及以上学历；经济管理、企业管理或工程管理等相关专业，具有经济、管理或工程等专业中级以上职称；</w:t>
            </w:r>
          </w:p>
          <w:p>
            <w:pPr>
              <w:widowControl/>
              <w:shd w:val="clear" w:color="auto" w:fill="FFFFFF"/>
              <w:adjustRightInd w:val="0"/>
              <w:snapToGrid w:val="0"/>
              <w:spacing w:line="240" w:lineRule="exact"/>
              <w:jc w:val="left"/>
              <w:rPr>
                <w:rFonts w:hint="eastAsia" w:ascii="宋体" w:hAnsi="宋体" w:cs="宋体"/>
                <w:color w:val="000000"/>
                <w:kern w:val="0"/>
                <w:sz w:val="18"/>
                <w:szCs w:val="18"/>
                <w:shd w:val="clear" w:color="auto" w:fill="FFFFFF"/>
                <w:lang w:bidi="ar"/>
              </w:rPr>
            </w:pPr>
            <w:r>
              <w:rPr>
                <w:rFonts w:hint="eastAsia" w:ascii="宋体" w:hAnsi="宋体" w:cs="宋体"/>
                <w:color w:val="000000"/>
                <w:kern w:val="0"/>
                <w:sz w:val="18"/>
                <w:szCs w:val="18"/>
                <w:shd w:val="clear" w:color="auto" w:fill="FFFFFF"/>
                <w:lang w:bidi="ar"/>
              </w:rPr>
              <w:t>3.具有在企业担任过类似职务或政府相关部门从事过相关管理业务的管理从业经验10年以上；熟悉国有企业项目管理相关法律法规及运行规则；</w:t>
            </w:r>
          </w:p>
          <w:p>
            <w:pPr>
              <w:adjustRightInd w:val="0"/>
              <w:snapToGrid w:val="0"/>
              <w:spacing w:line="240" w:lineRule="exact"/>
              <w:rPr>
                <w:rFonts w:hint="eastAsia" w:ascii="宋体" w:hAnsi="宋体" w:cs="宋体"/>
                <w:color w:val="000000"/>
                <w:kern w:val="0"/>
                <w:sz w:val="18"/>
                <w:szCs w:val="18"/>
                <w:shd w:val="clear" w:color="auto" w:fill="FFFFFF"/>
                <w:lang w:bidi="ar"/>
              </w:rPr>
            </w:pPr>
            <w:r>
              <w:rPr>
                <w:rFonts w:hint="eastAsia" w:ascii="宋体" w:hAnsi="宋体" w:cs="宋体"/>
                <w:color w:val="000000"/>
                <w:sz w:val="18"/>
                <w:szCs w:val="18"/>
                <w:shd w:val="clear" w:color="auto" w:fill="FFFFFF"/>
              </w:rPr>
              <w:t>4.了解国家经济管理、工程项目管理及地方性相关法律法规；</w:t>
            </w:r>
          </w:p>
          <w:p>
            <w:pPr>
              <w:widowControl/>
              <w:shd w:val="clear" w:color="auto" w:fill="FFFFFF"/>
              <w:adjustRightInd w:val="0"/>
              <w:snapToGrid w:val="0"/>
              <w:spacing w:line="240" w:lineRule="exact"/>
              <w:jc w:val="left"/>
              <w:rPr>
                <w:rFonts w:hint="eastAsia" w:ascii="宋体" w:hAnsi="宋体" w:cs="宋体"/>
                <w:color w:val="000000"/>
                <w:kern w:val="0"/>
                <w:sz w:val="18"/>
                <w:szCs w:val="18"/>
                <w:shd w:val="clear" w:color="auto" w:fill="FFFFFF"/>
                <w:lang w:bidi="ar"/>
              </w:rPr>
            </w:pPr>
            <w:r>
              <w:rPr>
                <w:rFonts w:hint="eastAsia" w:ascii="宋体" w:hAnsi="宋体" w:cs="宋体"/>
                <w:color w:val="000000"/>
                <w:kern w:val="0"/>
                <w:sz w:val="18"/>
                <w:szCs w:val="18"/>
                <w:shd w:val="clear" w:color="auto" w:fill="FFFFFF"/>
                <w:lang w:bidi="ar"/>
              </w:rPr>
              <w:t>5.具有较强的语言表达能力、沟通协调能力、项目研判能力，具有较强的团队合作意识和服务意识；</w:t>
            </w:r>
          </w:p>
          <w:p>
            <w:pPr>
              <w:widowControl/>
              <w:shd w:val="clear" w:color="auto" w:fill="FFFFFF"/>
              <w:adjustRightInd w:val="0"/>
              <w:snapToGrid w:val="0"/>
              <w:spacing w:line="240" w:lineRule="exact"/>
              <w:jc w:val="left"/>
              <w:rPr>
                <w:rFonts w:hint="eastAsia" w:ascii="宋体" w:hAnsi="宋体" w:cs="宋体"/>
                <w:b/>
                <w:bCs/>
                <w:sz w:val="18"/>
                <w:szCs w:val="18"/>
              </w:rPr>
            </w:pPr>
            <w:r>
              <w:rPr>
                <w:rFonts w:hint="eastAsia" w:ascii="宋体" w:hAnsi="宋体" w:cs="宋体"/>
                <w:color w:val="000000"/>
                <w:kern w:val="0"/>
                <w:sz w:val="18"/>
                <w:szCs w:val="18"/>
                <w:shd w:val="clear" w:color="auto" w:fill="FFFFFF"/>
                <w:lang w:bidi="ar"/>
              </w:rPr>
              <w:t>6.拥有商务谈判、资本运作、资本管理及项目管理相关能力。       7.</w:t>
            </w:r>
            <w:r>
              <w:rPr>
                <w:rFonts w:hint="eastAsia" w:ascii="宋体" w:hAnsi="宋体" w:cs="宋体"/>
                <w:sz w:val="18"/>
                <w:szCs w:val="18"/>
              </w:rPr>
              <w:t>具有良好的职业道德操守，尊重并引领企业文化。</w:t>
            </w:r>
          </w:p>
        </w:tc>
        <w:tc>
          <w:tcPr>
            <w:tcW w:w="5539" w:type="dxa"/>
            <w:tcBorders>
              <w:top w:val="single" w:color="000000" w:sz="4" w:space="0"/>
              <w:left w:val="single" w:color="000000" w:sz="4" w:space="0"/>
              <w:bottom w:val="single" w:color="000000" w:sz="4" w:space="0"/>
              <w:right w:val="single" w:color="000000" w:sz="4" w:space="0"/>
            </w:tcBorders>
            <w:noWrap w:val="0"/>
            <w:vAlign w:val="top"/>
          </w:tcPr>
          <w:p>
            <w:pPr>
              <w:widowControl/>
              <w:shd w:val="clear" w:color="auto" w:fill="FFFFFF"/>
              <w:adjustRightInd w:val="0"/>
              <w:snapToGrid w:val="0"/>
              <w:spacing w:line="240" w:lineRule="exact"/>
              <w:jc w:val="left"/>
              <w:rPr>
                <w:rFonts w:hint="eastAsia" w:ascii="宋体" w:hAnsi="宋体" w:cs="宋体"/>
                <w:sz w:val="18"/>
                <w:szCs w:val="18"/>
              </w:rPr>
            </w:pPr>
            <w:r>
              <w:rPr>
                <w:rFonts w:hint="eastAsia" w:ascii="宋体" w:hAnsi="宋体" w:cs="宋体"/>
                <w:sz w:val="18"/>
                <w:szCs w:val="18"/>
              </w:rPr>
              <w:t>1.负责组织编制公司战略发展规划及长远发展规划、经营计划、业务发展规划等工作；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2.负责组织</w:t>
            </w:r>
            <w:r>
              <w:rPr>
                <w:rFonts w:hint="eastAsia" w:ascii="宋体" w:hAnsi="宋体" w:cs="宋体"/>
                <w:color w:val="000000"/>
                <w:kern w:val="0"/>
                <w:sz w:val="18"/>
                <w:szCs w:val="18"/>
                <w:shd w:val="clear" w:color="auto" w:fill="FFFFFF"/>
                <w:lang w:bidi="ar"/>
              </w:rPr>
              <w:t>公司项目的前期论证及重点项目的市场调研、经济技术可行性分析以及政策信息和经济信息的研究论证分析工作，负责已确定开展项目的具体实施工作；</w:t>
            </w:r>
          </w:p>
          <w:p>
            <w:pPr>
              <w:pStyle w:val="3"/>
              <w:widowControl/>
              <w:adjustRightInd w:val="0"/>
              <w:snapToGrid w:val="0"/>
              <w:spacing w:before="0" w:beforeAutospacing="0" w:after="0" w:afterAutospacing="0" w:line="240" w:lineRule="exact"/>
              <w:rPr>
                <w:rFonts w:hint="eastAsia" w:ascii="宋体" w:hAnsi="宋体" w:cs="宋体"/>
                <w:sz w:val="18"/>
                <w:szCs w:val="18"/>
              </w:rPr>
            </w:pPr>
            <w:r>
              <w:rPr>
                <w:rFonts w:hint="eastAsia" w:ascii="宋体" w:hAnsi="宋体" w:cs="宋体"/>
                <w:sz w:val="18"/>
                <w:szCs w:val="18"/>
              </w:rPr>
              <w:t>3.负责组织落实公司工程项目的前期策划及具体开展工作，包括项目建议书、可行性研究报告及初步设计等设计咨询文件及方案的组织编写工作，负责指导工程项目的具体实施；</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4.负责完成公司战略合作项目的落地、推动、实施与规划工作；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5.定期向总经理汇报项目进度情况与下一阶段行动规划；</w:t>
            </w:r>
          </w:p>
          <w:p>
            <w:pPr>
              <w:widowControl/>
              <w:shd w:val="clear" w:color="auto" w:fill="FFFFFF"/>
              <w:adjustRightInd w:val="0"/>
              <w:snapToGrid w:val="0"/>
              <w:spacing w:line="240" w:lineRule="exact"/>
              <w:jc w:val="left"/>
              <w:rPr>
                <w:rFonts w:hint="eastAsia" w:ascii="宋体" w:hAnsi="宋体" w:cs="宋体"/>
                <w:b/>
                <w:bCs/>
                <w:sz w:val="18"/>
                <w:szCs w:val="18"/>
              </w:rPr>
            </w:pPr>
            <w:r>
              <w:rPr>
                <w:rFonts w:hint="eastAsia" w:ascii="宋体" w:hAnsi="宋体" w:cs="宋体"/>
                <w:color w:val="000000"/>
                <w:kern w:val="0"/>
                <w:sz w:val="18"/>
                <w:szCs w:val="18"/>
                <w:shd w:val="clear" w:color="auto" w:fill="FFFFFF"/>
                <w:lang w:bidi="ar"/>
              </w:rPr>
              <w:t>6.公司临时授权的其他工作。</w:t>
            </w:r>
          </w:p>
        </w:tc>
      </w:tr>
      <w:tr>
        <w:tblPrEx>
          <w:tblCellMar>
            <w:top w:w="0" w:type="dxa"/>
            <w:left w:w="108" w:type="dxa"/>
            <w:bottom w:w="0" w:type="dxa"/>
            <w:right w:w="108" w:type="dxa"/>
          </w:tblCellMar>
        </w:tblPrEx>
        <w:trPr>
          <w:gridAfter w:val="1"/>
          <w:wAfter w:w="35" w:type="dxa"/>
          <w:trHeight w:val="2525"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吉途文旅</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总经理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527"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260" w:lineRule="exact"/>
              <w:rPr>
                <w:rFonts w:hint="eastAsia" w:ascii="宋体" w:hAnsi="宋体" w:cs="宋体"/>
                <w:sz w:val="18"/>
                <w:szCs w:val="18"/>
              </w:rPr>
            </w:pPr>
            <w:r>
              <w:rPr>
                <w:rFonts w:hint="eastAsia" w:ascii="宋体" w:hAnsi="宋体" w:cs="宋体"/>
                <w:sz w:val="18"/>
                <w:szCs w:val="18"/>
              </w:rPr>
              <w:t>1.年龄：35周岁以上；</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2.学历：全日制大学本科及以上学历；企业管理、旅游管理、酒店管理、市场营销、财务管理等相关专业；</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3.具有在企业担任过类似职务或政府相关部门从事过相关管理业务从业经验5年以上；</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4.熟悉国家及地方有关文旅产业发展规划及行业发展趋势，了解文旅行业相关法律法规；熟知文旅产业产品的市场及营销方式特点，具有洞察市场、捕捉商机的能力；</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5.具有较强的语言表达能力、沟通协调能力、项目研判能力及企业运营能力，具有较强的团队合作意识和服务意识；</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6.能够知人善任，组建并打造具有整合能力、核心能力、资源整合能力和凝聚力的高效团队</w:t>
            </w:r>
          </w:p>
          <w:p>
            <w:pPr>
              <w:adjustRightInd w:val="0"/>
              <w:snapToGrid w:val="0"/>
              <w:spacing w:line="260" w:lineRule="exact"/>
              <w:rPr>
                <w:rFonts w:hint="eastAsia" w:ascii="宋体" w:hAnsi="宋体" w:cs="宋体"/>
                <w:sz w:val="18"/>
                <w:szCs w:val="18"/>
              </w:rPr>
            </w:pPr>
            <w:r>
              <w:rPr>
                <w:rFonts w:hint="eastAsia" w:ascii="宋体" w:hAnsi="宋体" w:cs="宋体"/>
                <w:sz w:val="18"/>
                <w:szCs w:val="18"/>
              </w:rPr>
              <w:t>7.具有正确的业绩观，良好的职业操守和个人品行。</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宋体" w:hAnsi="宋体" w:cs="宋体"/>
                <w:sz w:val="18"/>
                <w:szCs w:val="18"/>
              </w:rPr>
            </w:pPr>
            <w:r>
              <w:rPr>
                <w:rFonts w:hint="eastAsia" w:ascii="宋体" w:hAnsi="宋体" w:cs="宋体"/>
                <w:sz w:val="18"/>
                <w:szCs w:val="18"/>
              </w:rPr>
              <w:t>1.研究拟定公司战略发展目标，编制公司发展中长期规划和年度计划，保持公司可持续性发展；</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2.根据董事会的要求确定公司的经营方针，建立公司的经营管理体系并组织实施和改进，为经营管理体系运行提供足够的资源。</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3.主持公司的日常各项经营管理工作；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4.组织实施公司年度经营计划和投资方案；</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5.负责召集和主持公司总经理办公会议，协调、检查和督促各部门工作的全面开展。</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6.全面负责项目的开发与经营，包括市场运营、工程建设、招商运营、成本管控等，保障项目快速推进与落地；</w:t>
            </w:r>
          </w:p>
          <w:p>
            <w:pPr>
              <w:adjustRightInd w:val="0"/>
              <w:snapToGrid w:val="0"/>
              <w:spacing w:line="240" w:lineRule="exact"/>
              <w:rPr>
                <w:rFonts w:ascii="宋体" w:hAnsi="宋体" w:cs="宋体"/>
                <w:sz w:val="18"/>
                <w:szCs w:val="18"/>
              </w:rPr>
            </w:pPr>
            <w:r>
              <w:rPr>
                <w:rFonts w:hint="eastAsia" w:ascii="宋体" w:hAnsi="宋体" w:cs="宋体"/>
                <w:sz w:val="18"/>
                <w:szCs w:val="18"/>
              </w:rPr>
              <w:t>7.公司董事会授权的其他职能。</w:t>
            </w:r>
          </w:p>
        </w:tc>
      </w:tr>
      <w:tr>
        <w:tblPrEx>
          <w:tblCellMar>
            <w:top w:w="0" w:type="dxa"/>
            <w:left w:w="108" w:type="dxa"/>
            <w:bottom w:w="0" w:type="dxa"/>
            <w:right w:w="108" w:type="dxa"/>
          </w:tblCellMar>
        </w:tblPrEx>
        <w:trPr>
          <w:gridAfter w:val="1"/>
          <w:wAfter w:w="35" w:type="dxa"/>
          <w:trHeight w:val="2903"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办公室</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主任</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552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1.年龄：30周岁以上；                                       2.学历：具有大学本科以上学历，并获得学士以上学位；                             3.具备履行岗位职责所需要的政治理论水平、政治素质和专业知识；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4.具有企业或政府部门三年以上经营管理工作相关经历，熟悉企业运作体系；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5.具备奉献精神和服务意识，有一定文字综合能力、计算机应用、组织协调能力。</w:t>
            </w:r>
          </w:p>
          <w:p>
            <w:pPr>
              <w:rPr>
                <w:rFonts w:hint="eastAsia" w:ascii="宋体" w:hAnsi="宋体" w:cs="宋体"/>
                <w:sz w:val="18"/>
                <w:szCs w:val="18"/>
              </w:rPr>
            </w:pPr>
            <w:r>
              <w:rPr>
                <w:rFonts w:hint="eastAsia" w:ascii="宋体" w:hAnsi="宋体" w:cs="宋体"/>
                <w:color w:val="000000"/>
                <w:kern w:val="0"/>
                <w:sz w:val="18"/>
                <w:szCs w:val="18"/>
                <w:lang w:bidi="ar"/>
              </w:rPr>
              <w:t>6.普通话流利，形象好气质佳，具有良好的人际沟通能力和语言表达技巧；</w:t>
            </w:r>
          </w:p>
          <w:p>
            <w:pPr>
              <w:rPr>
                <w:rFonts w:hint="eastAsia" w:ascii="宋体" w:hAnsi="宋体" w:cs="宋体"/>
                <w:color w:val="000000"/>
                <w:kern w:val="0"/>
                <w:sz w:val="18"/>
                <w:szCs w:val="18"/>
                <w:lang w:bidi="ar"/>
              </w:rPr>
            </w:pPr>
            <w:r>
              <w:rPr>
                <w:rFonts w:hint="eastAsia" w:ascii="宋体" w:hAnsi="宋体" w:cs="宋体"/>
                <w:sz w:val="18"/>
                <w:szCs w:val="18"/>
              </w:rPr>
              <w:t>7具有良好的职业操守和个人品行。</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rFonts w:hint="eastAsia" w:ascii="宋体" w:hAnsi="宋体" w:cs="宋体"/>
                <w:sz w:val="18"/>
                <w:szCs w:val="18"/>
              </w:rPr>
            </w:pPr>
            <w:r>
              <w:rPr>
                <w:rFonts w:hint="eastAsia" w:ascii="宋体" w:hAnsi="宋体" w:cs="宋体"/>
                <w:sz w:val="18"/>
                <w:szCs w:val="18"/>
              </w:rPr>
              <w:t>1.负责各类信访和维稳工作。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2.负责内外部协调工作，包括各类商务接待、对外考察等沟通、协调。</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3.负责会议的组织、保证和服务工作，有序、高效地做好会议相关筹备及组织工作。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4.负责公司办公区域安全管理和环境管理工作，包括办公设备、网络、电话等办公设施的维修、维护。</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5.负责公司办公用品、办公设施、办公设备及食堂用品的采购及管理工作。</w:t>
            </w:r>
          </w:p>
          <w:p>
            <w:pPr>
              <w:adjustRightInd w:val="0"/>
              <w:snapToGrid w:val="0"/>
              <w:spacing w:line="240" w:lineRule="exact"/>
              <w:rPr>
                <w:rFonts w:hint="eastAsia" w:ascii="宋体" w:hAnsi="宋体" w:cs="宋体"/>
                <w:sz w:val="18"/>
                <w:szCs w:val="18"/>
              </w:rPr>
            </w:pPr>
            <w:r>
              <w:rPr>
                <w:rFonts w:hint="eastAsia" w:ascii="宋体" w:hAnsi="宋体" w:cs="宋体"/>
                <w:sz w:val="18"/>
                <w:szCs w:val="18"/>
              </w:rPr>
              <w:t>6.负责公司车辆的日常管理工作。</w:t>
            </w:r>
          </w:p>
          <w:p>
            <w:pPr>
              <w:adjustRightInd w:val="0"/>
              <w:snapToGrid w:val="0"/>
              <w:spacing w:line="240" w:lineRule="exact"/>
              <w:rPr>
                <w:rFonts w:hint="eastAsia" w:ascii="宋体" w:hAnsi="宋体" w:cs="宋体"/>
                <w:sz w:val="18"/>
                <w:szCs w:val="18"/>
              </w:rPr>
            </w:pPr>
            <w:r>
              <w:rPr>
                <w:rFonts w:hint="eastAsia" w:ascii="宋体" w:hAnsi="宋体" w:cs="宋体"/>
                <w:color w:val="000000"/>
                <w:kern w:val="0"/>
                <w:sz w:val="18"/>
                <w:szCs w:val="18"/>
                <w:shd w:val="clear" w:color="auto" w:fill="FFFFFF"/>
                <w:lang w:bidi="ar"/>
              </w:rPr>
              <w:t>7.公司临时授权的其他工作。</w:t>
            </w: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3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办公室</w:t>
            </w:r>
          </w:p>
        </w:tc>
        <w:tc>
          <w:tcPr>
            <w:tcW w:w="11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科员</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1.年龄：30周岁以下；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2.学历：具有大学本科以上学历，并获得学士以上学位；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3.具有一定的电脑操作能力与文字写作能力；</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4.普通话流利，形象好气质佳，具有良好的人际沟通能力和语言表达技巧；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5.有一年以上同级职务或外联经验者优先。</w:t>
            </w:r>
          </w:p>
        </w:tc>
        <w:tc>
          <w:tcPr>
            <w:tcW w:w="55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1.负责办公相关文字材料的起草工作；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2.负责公司对外协调、联络等相关工作；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3.负责对外商务活动及商务材料的起草工作；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4.负责来访客人、基层调研及检查等接待事务工作；                                                              5.完成上级领导交办的其他事务。</w:t>
            </w: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党委办公室</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党务管理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527" w:type="dxa"/>
            <w:tcBorders>
              <w:top w:val="single" w:color="000000" w:sz="4" w:space="0"/>
              <w:left w:val="single" w:color="000000" w:sz="4" w:space="0"/>
              <w:bottom w:val="nil"/>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1.年龄：30周岁以下；                                       2.学历：具有大学本科以上学历，并获得学士以上学位；                               3.政治素质好，热爱国有企业党建工作；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4.中共党员，具有国有企业一年以上党务工作经验；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5.具备奉献精神和服务意识，有较强的文字综合能力、计算机应用、沟通协调和语言表达能力。</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1.在主任领导下，协助抓好基层党建工作，负责党建工作计划、总结、文件、制度的拟稿、核对、发放及归档工作；                                                                                       2.负责党员、干部的统计，党费收缴以及党员档案材料的收集、整理、归档工作，接转党员组织关系；                                            3.负责制定发展党员规划和年度计划，指导发展党员工作，抓好入党积极分子队伍建设，对发展对象进行考核和审查，组织好新党员入党宣誓仪式；                                                     4.组织筹备民主生活会、组织生活会、各类党建专题会议、知识竞赛，开展特色党日活动，负责各类方案的起草、归档和保存工作；                                                     5.完成上级领导交办的其他事务。                                                                                                                                                             </w:t>
            </w:r>
          </w:p>
        </w:tc>
      </w:tr>
      <w:tr>
        <w:tblPrEx>
          <w:tblCellMar>
            <w:top w:w="0" w:type="dxa"/>
            <w:left w:w="108" w:type="dxa"/>
            <w:bottom w:w="0" w:type="dxa"/>
            <w:right w:w="108" w:type="dxa"/>
          </w:tblCellMar>
        </w:tblPrEx>
        <w:trPr>
          <w:gridAfter w:val="1"/>
          <w:wAfter w:w="35" w:type="dxa"/>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党委办公室</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文字综合</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527" w:type="dxa"/>
            <w:tcBorders>
              <w:top w:val="single" w:color="000000" w:sz="4" w:space="0"/>
              <w:left w:val="single" w:color="000000" w:sz="4" w:space="0"/>
              <w:bottom w:val="nil"/>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1.年龄：35周岁以下；                                       2.学历：具有大学本科以上学历，并获得学士以上学位；                              3.具备履行岗位职责所需要的政治理论水平、政治素质和专业知识；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4.具有国有企业两年以上经营管理工作相关经历，熟悉国有企业法人治理结构、决策流程和决策体系；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5.具备奉献精神和服务意识，有较强的文字综合能力、计算机应用、组织协调和沟通表达能力。</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1.协助做好公司相关决策会议筹备、会议服务、会议记录、会议决议会签与存档；                                                                                        2.负责公司各项决策会议会前沟通协调和材料审定、会中记录及会后起草纪要并督查督办；                                       3.负责公司公文起草、审核、修订，校对等相关工作；                                             4.草拟公司决策会议方案、主持词、纪要、决议；起草部门文件材料初稿；按要求，收集汇总整理公司内外信息；                               5.部门日常事务性工作.</w:t>
            </w:r>
          </w:p>
        </w:tc>
      </w:tr>
      <w:tr>
        <w:tblPrEx>
          <w:tblCellMar>
            <w:top w:w="0" w:type="dxa"/>
            <w:left w:w="108" w:type="dxa"/>
            <w:bottom w:w="0" w:type="dxa"/>
            <w:right w:w="108" w:type="dxa"/>
          </w:tblCellMar>
        </w:tblPrEx>
        <w:trPr>
          <w:gridAfter w:val="1"/>
          <w:wAfter w:w="35" w:type="dxa"/>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财务管理部</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会计管理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52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1.年龄：30周岁以下；                                       2.学历：具有大学本科以上学历，并获得学士以上学位；财会、金融、税收学及相关专业毕业，掌握会计基础、财务会计、成本会计的理论知识，了解企业管理知识；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3.具有国有企业一年以上财务管理工作经验；</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4.熟练掌握财务软件、Ex</w:t>
            </w:r>
            <w:r>
              <w:rPr>
                <w:rFonts w:ascii="宋体" w:hAnsi="宋体" w:cs="宋体"/>
                <w:color w:val="000000"/>
                <w:kern w:val="0"/>
                <w:sz w:val="18"/>
                <w:szCs w:val="18"/>
                <w:lang w:bidi="ar"/>
              </w:rPr>
              <w:t>c</w:t>
            </w:r>
            <w:r>
              <w:rPr>
                <w:rFonts w:hint="eastAsia" w:ascii="宋体" w:hAnsi="宋体" w:cs="宋体"/>
                <w:color w:val="000000"/>
                <w:kern w:val="0"/>
                <w:sz w:val="18"/>
                <w:szCs w:val="18"/>
                <w:lang w:bidi="ar"/>
              </w:rPr>
              <w:t xml:space="preserve">el表格、Word文档等办公软件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5.身体健康，爱岗敬业，品行端正，爱岗敬业，廉洁奉公，坚持原则，工作认真负责。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1.负责会计核算，进行会计监督；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2.负责会计凭证的编制，确保原始凭证合法、合规，内容真实，手续完备，数字正确，会计科目科学合理、准确无误；</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3.负责各种税费的正确计算与提取、及时完成税金的申报上缴工作；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4.负责编制会计报表，编写财务分析决算报告，对外报送各种会计报表和数据；</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5.负责保管有关印鉴、网银、U盾等；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6.负责会计档案的立卷、归档、保管，调阅和销毁等进行统一管理；</w:t>
            </w:r>
          </w:p>
        </w:tc>
      </w:tr>
      <w:tr>
        <w:tblPrEx>
          <w:tblCellMar>
            <w:top w:w="0" w:type="dxa"/>
            <w:left w:w="108" w:type="dxa"/>
            <w:bottom w:w="0" w:type="dxa"/>
            <w:right w:w="108" w:type="dxa"/>
          </w:tblCellMar>
        </w:tblPrEx>
        <w:trPr>
          <w:gridAfter w:val="1"/>
          <w:wAfter w:w="35" w:type="dxa"/>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人力资源部</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人事管理</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527" w:type="dxa"/>
            <w:tcBorders>
              <w:top w:val="nil"/>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1.年龄：30周岁以下；                                       2.学历：具有大学本科以上学历，并获得学士以上学位；                                3.熟练掌握Ex</w:t>
            </w:r>
            <w:r>
              <w:rPr>
                <w:rFonts w:ascii="宋体" w:hAnsi="宋体" w:cs="宋体"/>
                <w:color w:val="000000"/>
                <w:kern w:val="0"/>
                <w:sz w:val="18"/>
                <w:szCs w:val="18"/>
                <w:lang w:bidi="ar"/>
              </w:rPr>
              <w:t>c</w:t>
            </w:r>
            <w:r>
              <w:rPr>
                <w:rFonts w:hint="eastAsia" w:ascii="宋体" w:hAnsi="宋体" w:cs="宋体"/>
                <w:color w:val="000000"/>
                <w:kern w:val="0"/>
                <w:sz w:val="18"/>
                <w:szCs w:val="18"/>
                <w:lang w:bidi="ar"/>
              </w:rPr>
              <w:t>el表格、Word文档、PowerPoint图文制作等日常办公软件；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4.具有一年以上企业工作经验；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5.具备奉献精神和服务意识，有较强的文字综合能力、沟通协调能力和语言表达能力。</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1、负责收集和研究国家、地方劳动法律、法规；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2、负责完成员工劳动合同的签订等相关录用手续的具体工作；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3、负责员工职称审核并协助完成申报具体工作；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4、负责人事档案的收集、汇总、编号、整理、分类和归档工作，按规定履行人事档案借、调阅审批手续；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5、按要求及时上报各类月报、季报、年报等统计表，完成公司及出资企业人力资源统计数据的分析、汇总；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6、负责制订公司培训计划，协助部长完成员工培训的通知、记录、会场布置等相关工作；                                       7.参与制定公司薪酬政策及相关考核制度。</w:t>
            </w: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3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宣传部</w:t>
            </w:r>
          </w:p>
        </w:tc>
        <w:tc>
          <w:tcPr>
            <w:tcW w:w="11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文字编辑</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1.年龄：30周岁以下；                                       2.学历：具有大学本科以上学历，并获得学士以上学位；                               3.熟练掌握Ex</w:t>
            </w:r>
            <w:r>
              <w:rPr>
                <w:rFonts w:ascii="宋体" w:hAnsi="宋体" w:cs="宋体"/>
                <w:color w:val="000000"/>
                <w:kern w:val="0"/>
                <w:sz w:val="18"/>
                <w:szCs w:val="18"/>
                <w:lang w:bidi="ar"/>
              </w:rPr>
              <w:t>c</w:t>
            </w:r>
            <w:r>
              <w:rPr>
                <w:rFonts w:hint="eastAsia" w:ascii="宋体" w:hAnsi="宋体" w:cs="宋体"/>
                <w:color w:val="000000"/>
                <w:kern w:val="0"/>
                <w:sz w:val="18"/>
                <w:szCs w:val="18"/>
                <w:lang w:bidi="ar"/>
              </w:rPr>
              <w:t>el表格、Word文档、PowerPoint图文制作等日常办公软件；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4.具有一年以上企业工作经验；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5.具备奉献精神和服务意识，有较强的文字综合能力、沟通协调能力和语言表达能力。</w:t>
            </w:r>
          </w:p>
        </w:tc>
        <w:tc>
          <w:tcPr>
            <w:tcW w:w="55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1.主要负责集团及子公司对外宣传稿件的撰稿和编辑；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2.负责宣传推广文案和宣传资料文案的撰写；                   3.负责公司品牌建设有关工作，主要包括 CI 战略规划、CI 战略实施及日常控制；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4.协助部长负责企业文化建设和宣传推广工作；                 5.配合其他部门以及领导的其他工作。</w:t>
            </w: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3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发展规划部</w:t>
            </w:r>
          </w:p>
        </w:tc>
        <w:tc>
          <w:tcPr>
            <w:tcW w:w="11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项目管理</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1.年龄：35岁以下；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2.学历：具有大学本科以上学历，并获得学士以上学位；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3.工程、经济等相关专业；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4.有较好的沟通协调能力；</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5.有2年以上工作经验，并参与管理具体项目（2～3个项目案例）；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6.保守项目机密，工作积极主动，有团队合作意识。</w:t>
            </w:r>
          </w:p>
        </w:tc>
        <w:tc>
          <w:tcPr>
            <w:tcW w:w="55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1.参与项目决策，参与项目的前期规划、初步设计及项目总体方案的制定工作；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2.协助办理项目前期相关手续；</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3.协调设计、勘察、监理、施工单位项目工作；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4.协调项目策划、申报、实施、验收、运营管理工作；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5.配合做好项目内业管理等具体工作；</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6.完成上级领导交办的其他事务。</w:t>
            </w: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3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11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rPr>
                <w:rFonts w:hint="eastAsia" w:ascii="宋体" w:hAnsi="宋体" w:cs="宋体"/>
                <w:color w:val="000000"/>
                <w:sz w:val="18"/>
                <w:szCs w:val="18"/>
              </w:rPr>
            </w:pPr>
          </w:p>
        </w:tc>
        <w:tc>
          <w:tcPr>
            <w:tcW w:w="5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c>
          <w:tcPr>
            <w:tcW w:w="55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rPr>
                <w:rFonts w:hint="eastAsia" w:ascii="宋体" w:hAnsi="宋体" w:cs="宋体"/>
                <w:color w:val="000000"/>
                <w:sz w:val="18"/>
                <w:szCs w:val="18"/>
              </w:rPr>
            </w:pPr>
          </w:p>
        </w:tc>
      </w:tr>
      <w:tr>
        <w:tblPrEx>
          <w:tblCellMar>
            <w:top w:w="0" w:type="dxa"/>
            <w:left w:w="108" w:type="dxa"/>
            <w:bottom w:w="0" w:type="dxa"/>
            <w:right w:w="108" w:type="dxa"/>
          </w:tblCellMar>
        </w:tblPrEx>
        <w:trPr>
          <w:gridAfter w:val="1"/>
          <w:wAfter w:w="35" w:type="dxa"/>
          <w:trHeight w:val="312" w:hRule="atLeast"/>
          <w:jc w:val="center"/>
        </w:trPr>
        <w:tc>
          <w:tcPr>
            <w:tcW w:w="80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32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风控法务部</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法律事务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52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1.年龄：35周岁以下；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2.学历：具有大学本科以上学历，并获得学士以上学位；法律等相关专业；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3.具备专业的法律知识、良好的风险防范意识，熟悉合同法、民商法等；</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4.有较强的逻辑思维能力、沟通协调能力、文字材料撰写能力和研究分析能力；</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5.工作细致严谨、责任心强、保密意识强。具有大型企业两年以上工作经验。</w:t>
            </w:r>
          </w:p>
        </w:tc>
        <w:tc>
          <w:tcPr>
            <w:tcW w:w="55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1.协助部长对公司各类业务合同的起草、修订、审核及风险把控；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2.负责合同、法律文书档案管理，跟进、检查、监督、汇总、整理及报告公司法律文件、合同的反馈和执行情况；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3.完成上级领导交办的其他事务。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Mzg2N2I2ZGIyODZkODVlYTYyOWEyOTM2Yjg2YjMifQ=="/>
  </w:docVars>
  <w:rsids>
    <w:rsidRoot w:val="29881C81"/>
    <w:rsid w:val="2988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3800</Words>
  <Characters>3972</Characters>
  <Lines>0</Lines>
  <Paragraphs>0</Paragraphs>
  <TotalTime>1</TotalTime>
  <ScaleCrop>false</ScaleCrop>
  <LinksUpToDate>false</LinksUpToDate>
  <CharactersWithSpaces>5229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2023-02-13T08:23:00Z</dcterms:created>
  <dc:creator>Undo</dc:creator>
  <cp:lastModifiedBy>Undo</cp:lastModifiedBy>
  <dcterms:modified xsi:type="dcterms:W3CDTF">2023-02-13T08:24:50Z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EFC742E80AA143A899B0CFD1372A591D</vt:lpwstr>
  </property>
</Properties>
</file>