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  <w:t>济宁园祥投资有限公司2023年工作人员招聘岗位需求表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340"/>
        <w:gridCol w:w="1128"/>
        <w:gridCol w:w="1170"/>
        <w:gridCol w:w="1380"/>
        <w:gridCol w:w="1935"/>
        <w:gridCol w:w="5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财务融资部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科员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会计学、财务管理、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金融学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等相关专业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应届毕业生：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1.有助理会计师证书；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全日制本科及以上优先。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非应届毕业生：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1.具有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3年以上财务工作经验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有助理会计师证书，熟悉国家相关法律法规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3.具备中级职称及以上财务会计相关证书，或投资、金融相关从业资格证者优先；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4.了解工程建设手续及流程优先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具有C1及以上汽车驾驶证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者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优先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经营管理部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科员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工商管理、经济学、统计学等相关专业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应届毕业生：全日制本科及以上优先。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非应届毕业生：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1.具有资产运营及管理工作经验；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2.能够熟练使用各种办公软件；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3.有较强的语言表达能力、沟通能力和写作能力；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4.具有C1及以上汽车驾驶证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者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优先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人力资源部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科员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人力资源管理、信息管理、档案学等相关专业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应届毕业生：全日制本科及以上优先。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非应届毕业生：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1.具有人力资源管理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及人事档案管理工作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经验；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2.熟练掌握人力资源管理理论与实践知识，熟悉劳动法、合同法及国家人力资源相关法律法规；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3.有较强的语言表达能力、沟通能力和写作能力；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.持有人力资源管理师证书优先；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.具有C1及以上汽车驾驶证者优先。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党群工作部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科员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党建、党史、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汉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语言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文学等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相关专业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应届毕业生：全日制本科及以上优先。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非应届毕业生：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中共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预备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党员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或中共党员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熟悉党团组织管理、党团建设工作和宣传教育的知识；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.能熟练撰写党务类相关工作报告等业务文书；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.有相关国企、行政事业单位党务工作经验者优先；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5.具有C1及以上汽车驾驶证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者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优先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产业发展部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科员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金融、财务、经济、法律等相关专业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应届毕业生：全日制本科及以上优先。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非应届毕业生：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.具有一定的财务、法律基础；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2.了解投资、并购、重组的政策法规；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3.有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良好的文字功底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4.持有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基金从业资格证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5.具有C1及以上汽车驾驶证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者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优先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综合办公室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科员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行政管理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、文秘、汉语言文学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等相关专业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应届毕业生：全日制本科及以上优先。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非应届毕业生：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具备文秘、行政等专业知识，具有2年及以上相关工作经验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2.具有一定的文字功底，公文写作能力强；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3.具有较强的责任心、团队协作和沟通应变能力；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4.具有C1及以上汽车驾驶证优先考虑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物业管理部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科员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管理类、物业管理等相关专业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应届毕业生：全日制本科及以上优先。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非应届毕业生：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具有物业管理工作经验，熟悉相关法律法规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2.具有优秀服务意识，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待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人亲切友善；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3.独立工作能力强，能够灵活处理突发事件；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4.具有C1及以上汽车驾驶证优先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工程管理部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科员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工程类、建筑类、造价类等相关专业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应届毕业生：全日制本科及以上优先。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非应届毕业生：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具有2年以上房地产、建筑施工单位工程管理工作经验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2.熟练使用CAD等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办公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软件；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熟悉工程建设资料及相关手续办理流程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具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有二级及以上建造师证者优先；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5.具有C1及以上汽车驾驶证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者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优先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合计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9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  <w:docVar w:name="KSO_WPS_MARK_KEY" w:val="b69ace98-21f3-41c6-bc69-e92aa12c9f32"/>
  </w:docVars>
  <w:rsids>
    <w:rsidRoot w:val="00000000"/>
    <w:rsid w:val="7F52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semiHidden/>
    <w:qFormat/>
    <w:uiPriority w:val="99"/>
    <w:pPr>
      <w:spacing w:after="0"/>
      <w:ind w:left="0" w:leftChars="0" w:firstLine="420" w:firstLineChars="200"/>
    </w:pPr>
    <w:rPr>
      <w:rFonts w:ascii="仿宋_GB2312" w:hAnsi="创艺简标宋" w:eastAsia="仿宋_GB2312"/>
      <w:sz w:val="32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2023-02-06T07:01:10Z</dcterms:created>
  <dc:creator>DELL</dc:creator>
  <cp:lastModifiedBy>故事细腻</cp:lastModifiedBy>
  <dcterms:modified xsi:type="dcterms:W3CDTF">2023-02-06T07:01:14Z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0AAD2CB47E4941A7AD77F93920F8026F</vt:lpwstr>
  </property>
</Properties>
</file>