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附件1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234" w:tblpY="3846"/>
        <w:tblOverlap w:val="never"/>
        <w:tblW w:w="141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514"/>
        <w:gridCol w:w="2690"/>
        <w:gridCol w:w="2540"/>
        <w:gridCol w:w="950"/>
        <w:gridCol w:w="1010"/>
        <w:gridCol w:w="950"/>
        <w:gridCol w:w="4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学历性质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会计岗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负责日常会计核算和财务管理、预算管理、税务筹划</w:t>
            </w: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等专业工作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。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财务、会计类专业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大学本科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统招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1.年龄40周岁以下</w:t>
            </w:r>
            <w:r>
              <w:rPr>
                <w:rFonts w:hint="default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/>
              </w:rPr>
              <w:t>（1983年1月28日后出生）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2.具有</w:t>
            </w: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会计师</w:t>
            </w: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证书</w:t>
            </w: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熟练使用办公软件，精通财务管理软件。熟悉国家财经法规和各项税务政策；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仿宋_GB2312"/>
                <w:color w:val="000000"/>
                <w:spacing w:val="-1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kern w:val="0"/>
                <w:sz w:val="21"/>
                <w:szCs w:val="21"/>
              </w:rPr>
              <w:t>.具有国企相关工作经验或具有大、中型集团公司从业经验者优先。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莱州湾区海洋投资有限公司招聘岗位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  <w:t>要求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ZWNkN2E5Y2EwMWQyNDRiN2JkOGRjMjhiMjE2ODEifQ=="/>
  </w:docVars>
  <w:rsids>
    <w:rsidRoot w:val="00000000"/>
    <w:rsid w:val="279F0B95"/>
    <w:rsid w:val="457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character" w:customStyle="1" w:styleId="5">
    <w:name w:val="NormalCharacter"/>
    <w:qFormat/>
    <w:uiPriority w:val="0"/>
    <w:rPr>
      <w:rFonts w:ascii="Calibri" w:hAnsi="Calibri" w:eastAsia="仿宋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Paragraphs>23</Paragraphs>
  <TotalTime>0</TotalTime>
  <ScaleCrop>false</ScaleCrop>
  <LinksUpToDate>false</LinksUpToDate>
  <CharactersWithSpaces>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2022-07-08T08:42:00Z</dcterms:created>
  <dc:creator>lithoser</dc:creator>
  <cp:lastModifiedBy>冰雪儿</cp:lastModifiedBy>
  <cp:lastPrinted>2023-01-21T02:53:00Z</cp:lastPrinted>
  <dcterms:modified xsi:type="dcterms:W3CDTF">2023-01-21T02:56:04Z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ba08358c58fc4aebbb193747ae842eeb</vt:lpwstr>
  </property>
</Properties>
</file>