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楷体" w:hAnsi="楷体" w:eastAsia="楷体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附件</w:t>
      </w:r>
    </w:p>
    <w:p>
      <w:pPr>
        <w:pStyle w:val="2"/>
        <w:jc w:val="center"/>
        <w:rPr>
          <w:rFonts w:hint="eastAsia" w:ascii="楷体" w:hAnsi="楷体" w:eastAsia="楷体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楷体" w:hAnsi="楷体" w:eastAsia="楷体" w:cs="方正小标宋简体"/>
          <w:b/>
          <w:bCs/>
          <w:sz w:val="36"/>
          <w:szCs w:val="36"/>
        </w:rPr>
        <w:t>台州市第一人民医院202</w:t>
      </w:r>
      <w:r>
        <w:rPr>
          <w:rFonts w:hint="eastAsia" w:ascii="楷体" w:hAnsi="楷体" w:eastAsia="楷体" w:cs="方正小标宋简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楷体" w:hAnsi="楷体" w:eastAsia="楷体" w:cs="方正小标宋简体"/>
          <w:b/>
          <w:bCs/>
          <w:sz w:val="36"/>
          <w:szCs w:val="36"/>
        </w:rPr>
        <w:t>年公开招聘高层次卫技人员计划表</w:t>
      </w:r>
    </w:p>
    <w:bookmarkEnd w:id="0"/>
    <w:p>
      <w:pPr>
        <w:spacing w:line="240" w:lineRule="exact"/>
        <w:ind w:left="-540" w:leftChars="-257" w:firstLine="480" w:firstLineChars="200"/>
        <w:rPr>
          <w:rFonts w:hint="eastAsia" w:ascii="仿宋" w:hAnsi="仿宋" w:eastAsia="仿宋" w:cs="宋体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605"/>
        <w:gridCol w:w="1185"/>
        <w:gridCol w:w="855"/>
        <w:gridCol w:w="1875"/>
        <w:gridCol w:w="1635"/>
        <w:gridCol w:w="3002"/>
        <w:gridCol w:w="900"/>
        <w:gridCol w:w="1145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564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序号</w:t>
            </w:r>
          </w:p>
        </w:tc>
        <w:tc>
          <w:tcPr>
            <w:tcW w:w="364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招考计划</w:t>
            </w:r>
          </w:p>
        </w:tc>
        <w:tc>
          <w:tcPr>
            <w:tcW w:w="6512" w:type="dxa"/>
            <w:gridSpan w:val="3"/>
            <w:noWrap w:val="0"/>
            <w:vAlign w:val="center"/>
          </w:tcPr>
          <w:p>
            <w:pPr>
              <w:tabs>
                <w:tab w:val="left" w:pos="3149"/>
              </w:tabs>
              <w:spacing w:line="340" w:lineRule="exact"/>
              <w:jc w:val="center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所需资格条件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>面试分数比例</w:t>
            </w:r>
          </w:p>
        </w:tc>
        <w:tc>
          <w:tcPr>
            <w:tcW w:w="114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906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56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职位名称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岗位类别</w:t>
            </w:r>
          </w:p>
        </w:tc>
        <w:tc>
          <w:tcPr>
            <w:tcW w:w="8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人数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学历/学位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学历专业</w:t>
            </w:r>
          </w:p>
        </w:tc>
        <w:tc>
          <w:tcPr>
            <w:tcW w:w="30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其他资格条件</w:t>
            </w:r>
          </w:p>
        </w:tc>
        <w:tc>
          <w:tcPr>
            <w:tcW w:w="9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</w:rPr>
            </w:pPr>
          </w:p>
        </w:tc>
        <w:tc>
          <w:tcPr>
            <w:tcW w:w="114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</w:p>
        </w:tc>
        <w:tc>
          <w:tcPr>
            <w:tcW w:w="90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医学博士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全日制普通高校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 w:bidi="ar"/>
              </w:rPr>
              <w:t>博士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研究生/博士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各医学相关专业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年龄45周岁及以下,具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 w:bidi="ar"/>
              </w:rPr>
              <w:t>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正高职称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 w:bidi="ar"/>
              </w:rPr>
              <w:t>的紧缺、急需等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特殊人才，年龄可放宽至50周岁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100%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84016878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高级职称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卫技人员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各医学相关专业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年龄45周岁及以下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具有副高及以上职称。具有正高职称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 w:bidi="ar"/>
              </w:rPr>
              <w:t>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紧缺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 w:bidi="ar"/>
              </w:rPr>
              <w:t>、急需等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特殊人才，年龄可放宽至50周岁。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100%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84016878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6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医学硕士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全日制普通高校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 w:bidi="ar"/>
              </w:rPr>
              <w:t>硕士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研究生/硕士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各医学相关专业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bidi="ar"/>
              </w:rPr>
              <w:t>年龄35周岁及以下。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ind w:firstLine="200" w:firstLineChars="100"/>
              <w:textAlignment w:val="center"/>
              <w:rPr>
                <w:rFonts w:hint="eastAsia"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100%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84016878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开考比例不受限制</w:t>
            </w:r>
          </w:p>
        </w:tc>
      </w:tr>
    </w:tbl>
    <w:p>
      <w:pPr>
        <w:rPr>
          <w:rFonts w:ascii="仿宋" w:hAnsi="仿宋" w:eastAsia="仿宋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3BF771FE"/>
    <w:rsid w:val="3BF7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2023-01-13T08:32:00Z</dcterms:created>
  <dc:creator>阿鱼</dc:creator>
  <cp:lastModifiedBy>阿鱼</cp:lastModifiedBy>
  <dcterms:modified xsi:type="dcterms:W3CDTF">2023-01-13T08:32:33Z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6AA422CD6C184F1E8464EEB59C6B7D46</vt:lpwstr>
  </property>
</Properties>
</file>