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EC" w:rsidRDefault="004A73EC" w:rsidP="004A73E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</w:t>
      </w:r>
    </w:p>
    <w:p w:rsidR="004A73EC" w:rsidRDefault="004A73EC" w:rsidP="004A73EC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2022年赤峰市疾病预防控制中心</w:t>
      </w:r>
    </w:p>
    <w:p w:rsidR="004A73EC" w:rsidRDefault="004A73EC" w:rsidP="004A73E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关于内蒙古自治区重点区域急需紧缺高层次人才评价表</w:t>
      </w:r>
    </w:p>
    <w:p w:rsidR="004A73EC" w:rsidRDefault="004A73EC" w:rsidP="004A73EC">
      <w:pPr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报名人员姓名:                报名岗位:                     自评得分:</w:t>
      </w:r>
    </w:p>
    <w:tbl>
      <w:tblPr>
        <w:tblW w:w="9088" w:type="dxa"/>
        <w:jc w:val="center"/>
        <w:tblLook w:val="04A0" w:firstRow="1" w:lastRow="0" w:firstColumn="1" w:lastColumn="0" w:noHBand="0" w:noVBand="1"/>
      </w:tblPr>
      <w:tblGrid>
        <w:gridCol w:w="739"/>
        <w:gridCol w:w="713"/>
        <w:gridCol w:w="5085"/>
        <w:gridCol w:w="708"/>
        <w:gridCol w:w="1000"/>
        <w:gridCol w:w="843"/>
      </w:tblGrid>
      <w:tr w:rsidR="004A73EC" w:rsidTr="004975A7">
        <w:trPr>
          <w:trHeight w:val="61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jc w:val="center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评价类别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jc w:val="center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评价</w:t>
            </w:r>
          </w:p>
          <w:p w:rsidR="004A73EC" w:rsidRDefault="004A73EC" w:rsidP="004975A7">
            <w:pPr>
              <w:widowControl/>
              <w:jc w:val="center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项目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jc w:val="center"/>
              <w:rPr>
                <w:rFonts w:ascii="黑体" w:eastAsia="黑体" w:hAnsi="黑体" w:cs="宋体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szCs w:val="24"/>
              </w:rPr>
              <w:t>赋分标准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jc w:val="center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赋分</w:t>
            </w:r>
          </w:p>
          <w:p w:rsidR="004A73EC" w:rsidRDefault="004A73EC" w:rsidP="004975A7">
            <w:pPr>
              <w:widowControl/>
              <w:jc w:val="center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总分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jc w:val="center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自评得分项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jc w:val="center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自评</w:t>
            </w:r>
          </w:p>
          <w:p w:rsidR="004A73EC" w:rsidRDefault="004A73EC" w:rsidP="004975A7">
            <w:pPr>
              <w:jc w:val="center"/>
              <w:rPr>
                <w:rFonts w:ascii="黑体" w:eastAsia="黑体" w:hAnsi="黑体" w:cs="宋体"/>
                <w:szCs w:val="24"/>
              </w:rPr>
            </w:pPr>
            <w:r>
              <w:rPr>
                <w:rFonts w:ascii="黑体" w:eastAsia="黑体" w:hAnsi="黑体" w:cs="宋体" w:hint="eastAsia"/>
                <w:szCs w:val="24"/>
              </w:rPr>
              <w:t>得分</w:t>
            </w:r>
          </w:p>
        </w:tc>
      </w:tr>
      <w:tr w:rsidR="004A73EC" w:rsidTr="004975A7">
        <w:trPr>
          <w:trHeight w:val="1219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</w:rPr>
              <w:t>公共评价项目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</w:rPr>
              <w:t>专业层次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rPr>
                <w:rFonts w:eastAsia="宋体" w:cs="宋体"/>
                <w:szCs w:val="21"/>
              </w:rPr>
            </w:pPr>
            <w:r>
              <w:rPr>
                <w:rFonts w:cs="宋体" w:hint="eastAsia"/>
                <w:bCs/>
                <w:szCs w:val="21"/>
              </w:rPr>
              <w:t>本  科</w:t>
            </w:r>
            <w:r>
              <w:rPr>
                <w:rFonts w:cs="宋体" w:hint="eastAsia"/>
                <w:szCs w:val="21"/>
              </w:rPr>
              <w:t>：一流大学且一流学科者得30分，一流大学非一流学科者得25分，非一流“985、211”大学得20分，一本录取大学得15分，二本录取大学得10分。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</w:tr>
      <w:tr w:rsidR="004A73EC" w:rsidTr="004975A7">
        <w:trPr>
          <w:trHeight w:val="1086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bCs/>
                <w:szCs w:val="21"/>
              </w:rPr>
              <w:t>研究生</w:t>
            </w:r>
            <w:r>
              <w:rPr>
                <w:rFonts w:cs="宋体" w:hint="eastAsia"/>
                <w:szCs w:val="21"/>
              </w:rPr>
              <w:t>：一流大学且一流学科者得30分，一流大学非一流学科者得25分，非一流“985、211”大学得20分，一本录取大学得15分，二本录取大学得10分。</w:t>
            </w:r>
          </w:p>
          <w:p w:rsidR="004A73EC" w:rsidRDefault="004A73EC" w:rsidP="004975A7">
            <w:pPr>
              <w:widowControl/>
              <w:spacing w:line="240" w:lineRule="exact"/>
              <w:rPr>
                <w:rFonts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</w:tr>
      <w:tr w:rsidR="004A73EC" w:rsidTr="004975A7">
        <w:trPr>
          <w:trHeight w:val="1719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</w:rPr>
              <w:t>成绩业绩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spacing w:line="2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研究生成绩：以GPA为评价标准，基础分为6分，最高15分。按以下标准赋分：</w:t>
            </w:r>
            <w:r>
              <w:rPr>
                <w:rFonts w:cs="宋体"/>
                <w:szCs w:val="21"/>
              </w:rPr>
              <w:t>GPA1-1.2得6分，GPA 1.3-1.5得7分，GPA 1.6-1.8得8分，GPA 1.9-2.1得9分，GPA 2.2-2.4得10分，GPA 2.5-2.7得11分，GPA 2.8-3得12分，GPA 3.1-3.3得13分，GPA 3.4-3.6得</w:t>
            </w:r>
            <w:r>
              <w:rPr>
                <w:rFonts w:cs="宋体"/>
                <w:szCs w:val="21"/>
              </w:rPr>
              <w:tab/>
              <w:t>14分，GPA 3.7-4得15分</w:t>
            </w:r>
            <w:r>
              <w:rPr>
                <w:rFonts w:cs="宋体" w:hint="eastAsia"/>
                <w:szCs w:val="21"/>
              </w:rPr>
              <w:t>。取小数点后一位，不四舍五入。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</w:tr>
      <w:tr w:rsidR="004A73EC" w:rsidTr="004975A7">
        <w:trPr>
          <w:trHeight w:val="1786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</w:rPr>
              <w:t>研究成果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作为第一作者发表论文文章且被SCI收录者，每篇得8分；作为除导师以外第一作者发表论文文章且被SCI收录者，每篇得4分；作为除导师以外第二作者发表论文文章且被SCI收录者，每篇得1分；作为第一作者发表论文文章且被EI收录者，每篇得1分。</w:t>
            </w:r>
          </w:p>
          <w:p w:rsidR="004A73EC" w:rsidRDefault="004A73EC" w:rsidP="004975A7">
            <w:pPr>
              <w:widowControl/>
              <w:spacing w:line="2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同一篇文章按最高分计算，发表多篇的累加不超15分。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</w:tr>
      <w:tr w:rsidR="004A73EC" w:rsidTr="004975A7">
        <w:trPr>
          <w:trHeight w:val="1973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</w:rPr>
              <w:t>荣誉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获得国家级荣誉者每项得5分；</w:t>
            </w:r>
          </w:p>
          <w:p w:rsidR="004A73EC" w:rsidRDefault="004A73EC" w:rsidP="004975A7">
            <w:pPr>
              <w:widowControl/>
              <w:spacing w:line="2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获得省级荣誉者每项得3分；</w:t>
            </w:r>
          </w:p>
          <w:p w:rsidR="004A73EC" w:rsidRDefault="004A73EC" w:rsidP="004975A7">
            <w:pPr>
              <w:widowControl/>
              <w:spacing w:line="2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获得市级荣誉者每项得1分。</w:t>
            </w:r>
          </w:p>
          <w:p w:rsidR="004A73EC" w:rsidRDefault="004A73EC" w:rsidP="004975A7">
            <w:pPr>
              <w:widowControl/>
              <w:spacing w:line="2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各项累加不超过10分。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0</w:t>
            </w:r>
          </w:p>
          <w:p w:rsidR="004A73EC" w:rsidRDefault="004A73EC" w:rsidP="004975A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C" w:rsidRDefault="004A73EC" w:rsidP="004975A7">
            <w:pPr>
              <w:widowControl/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</w:tr>
    </w:tbl>
    <w:p w:rsidR="004A73EC" w:rsidRDefault="004A73EC" w:rsidP="004A73EC">
      <w:pPr>
        <w:rPr>
          <w:rFonts w:ascii="仿宋_GB2312" w:eastAsia="仿宋_GB2312"/>
          <w:szCs w:val="21"/>
        </w:rPr>
      </w:pPr>
    </w:p>
    <w:p w:rsidR="004A73EC" w:rsidRDefault="004A73EC" w:rsidP="004A73EC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特殊人才: 1.作为第一作者文章被</w:t>
      </w:r>
      <w:r>
        <w:rPr>
          <w:rFonts w:ascii="仿宋_GB2312" w:eastAsia="仿宋_GB2312"/>
          <w:szCs w:val="21"/>
        </w:rPr>
        <w:t>SCI收录</w:t>
      </w:r>
      <w:r>
        <w:rPr>
          <w:rFonts w:ascii="仿宋_GB2312" w:eastAsia="仿宋_GB2312" w:hint="eastAsia"/>
          <w:szCs w:val="21"/>
        </w:rPr>
        <w:t>超过3篇（含）者，人才评价按满分计算（100分）。</w:t>
      </w:r>
    </w:p>
    <w:p w:rsidR="004A73EC" w:rsidRDefault="004A73EC" w:rsidP="004A73EC">
      <w:pPr>
        <w:numPr>
          <w:ilvl w:val="0"/>
          <w:numId w:val="1"/>
        </w:numPr>
        <w:ind w:firstLineChars="500" w:firstLine="105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获得国家级荣誉2项（含）以上者，人才评价按满分计算（100分）。</w:t>
      </w:r>
    </w:p>
    <w:p w:rsidR="004E556B" w:rsidRPr="004A73EC" w:rsidRDefault="004E556B">
      <w:bookmarkStart w:id="0" w:name="_GoBack"/>
      <w:bookmarkEnd w:id="0"/>
    </w:p>
    <w:sectPr w:rsidR="004E556B" w:rsidRPr="004A7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BBE467"/>
    <w:multiLevelType w:val="singleLevel"/>
    <w:tmpl w:val="AABBE46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EC"/>
    <w:rsid w:val="004A73EC"/>
    <w:rsid w:val="004E556B"/>
    <w:rsid w:val="00542327"/>
    <w:rsid w:val="007A59CB"/>
    <w:rsid w:val="00D12584"/>
    <w:rsid w:val="00F06CB7"/>
    <w:rsid w:val="00F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214F7-5DBE-4CD0-8F88-32F67E46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sky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1</cp:revision>
  <dcterms:created xsi:type="dcterms:W3CDTF">2023-01-04T09:43:00Z</dcterms:created>
  <dcterms:modified xsi:type="dcterms:W3CDTF">2023-01-04T09:43:00Z</dcterms:modified>
</cp:coreProperties>
</file>