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rPr>
        <w:t>泉州交通发展集团有限责任公司简介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rPr>
      </w:pPr>
      <w:r>
        <w:rPr>
          <w:rFonts w:hint="eastAsia"/>
        </w:rPr>
        <w:t xml:space="preserve"> 2017年7月，泉州市委、市政府按照“组建大集团、发展大产业”战略部署，在整合13家市属国有企业基础上组建成立泉州交通发展集团有限责任公司（简称：泉州交发集团）。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rPr>
      </w:pPr>
      <w:r>
        <w:rPr>
          <w:rFonts w:hint="eastAsia"/>
        </w:rPr>
        <w:t>集团公司注册资本金30亿元，经营范围涉及基础设施建设，如公路、隧道、桥梁、市政、房建等工程施工、咨询、检测、监理、建材贸易、道路客运、城市公交、出租客运、综合物流运输、汽车维修检测、汽车销售、交通职业培训、酒店商务、机场运营、轨道建设运营、房地产开发、园区开发、交通信息科技开发、大数据应用、工程信息化管理等综合业务。现有泉州市路桥建设开发有限公司</w:t>
      </w:r>
      <w:r>
        <w:rPr>
          <w:rFonts w:hint="eastAsia"/>
          <w:lang w:eastAsia="zh-CN"/>
        </w:rPr>
        <w:t>（泉州市轨道交通集团有限公司）</w:t>
      </w:r>
      <w:r>
        <w:rPr>
          <w:rFonts w:hint="eastAsia"/>
        </w:rPr>
        <w:t>、福建省泉运实业集团有限公司、福建第一公路工程集团有限公司、泉州市公交集团有限责任公司、泉州交通投资有限责任公司、泉州市搏浪科技集团有限公司、泉州交发新业有限公司、泉州交发置业投资集团有限公司、泉州大数据运营服务有限公司、</w:t>
      </w:r>
      <w:r>
        <w:rPr>
          <w:rFonts w:hint="eastAsia" w:ascii="Times New Roman" w:hAnsi="Times New Roman" w:eastAsia="方正仿宋简体" w:cs="Times New Roman"/>
          <w:sz w:val="32"/>
          <w:szCs w:val="32"/>
          <w:highlight w:val="none"/>
        </w:rPr>
        <w:t>泉州交发交通产业投资集团有限公司</w:t>
      </w:r>
      <w:r>
        <w:rPr>
          <w:rFonts w:hint="eastAsia"/>
          <w:highlight w:val="none"/>
        </w:rPr>
        <w:t>等二级企业1</w:t>
      </w:r>
      <w:r>
        <w:rPr>
          <w:rFonts w:hint="eastAsia"/>
          <w:highlight w:val="none"/>
          <w:lang w:val="en-US" w:eastAsia="zh-CN"/>
        </w:rPr>
        <w:t>0</w:t>
      </w:r>
      <w:r>
        <w:rPr>
          <w:rFonts w:hint="eastAsia"/>
        </w:rPr>
        <w:t>家，三级企业150余家，员工9800余人。截至2021年末，集团资产总额达565.00亿元，较2017年成立之初增长142.72%；2021年实现营业收入46.04亿元，近四年年均复合增长19.45%；利润总额3.62亿元，近四年年均复合增长率78.03%。</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自组建以来，泉州交发集团主动融入福建省经济社会发展全局、海西经济发展大局、“五个泉州”建设新局，积极发挥交通先行官优势，持续打响“项目、转型、改革”三场攻坚战，逐渐在交通基础设施建设、民生服务保障、交通产业发展等领域发挥起国资集团的重要力量作用，将“让城市因交通而生动，让交通为城市添活力”的理念生动演绎。</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吹响集结号，跑出高质量发展“加速度”。泉州交发集团先后承接市政府十余个高速公路、大桥通道等省市重点建设项目，积极构建城市综合交通网络，打造海、路、港、空、铁“大交通”格局。陆续在高速、国省干线、桥梁、铁路等项目上发力，投资交通基础设施建设项目累计253个，先后“谋划一批”“签约一批”“推进一批”“开工一批”“建成一批”省市重点交通项目。创新“项目+资源”投融资模式，探索新建高速公路采用经营性建设模式；扩展工程咨询、设计、施工、监理、检测、养护、信息化等全寿命周期业务， 实现建筑施工全产业链一体化运营。投资承建的泉三高速公路项目荣获“第十四届中国土木工程詹天佑奖”。兴泉铁路、福厦客专泉州段、泉南线改扩建、国省干线横七线全线开工，沙厦高速路、泉厦漳城市联盟路建成通车。泉州火车站综合枢纽缩短一年半工期建成运营；南安、惠安崇武、德化闽兴综合场站等一批客运场站及华侨大学、海星小区、笋江公园等一批公交场站陆续建成投用；德化陶瓷电商物流园一期、台商区海峡雕艺园等一批园区启动建设或建成投用。</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打造“多元多彩”交通，让出行更加便民利民。致力于构建“多元文化，多彩交通”公共出行体系和古城“公交+慢行”交通格局，公共出行形成客运班车、国营的士、常规公交、中型公交、微公交、社区巴士、公共自行车、人力三轮车、网约定制车等多元化的交通出行服务新格局，覆盖泉州3区5县3个县级市。推动大数据、人工智能、区块链与交通出行服务深度融合，逐步延伸打造城市级综合服务平台。成功上线“泉城通”APP，沉淀用户超300万，逐步跃升为大泉州生活类主流APP。研发并推广应用全省首个国企采购平台。自行车网、公交“大脑”等综合交通便民服务项目同步推进实施，为建成“智慧交通”、“智慧城市”提供交发方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探索新蓝海，产业拓展多点纷繁开花。紧抓“四新”战略机遇，延伸交通基础设施关联产业，孕育新业态、新业务、新经营模式。开发路衍资产、公路服务站、高速服务区，拓展渣土运输经营，发展壮大充电桩、加油站等一批能源业务，打造“崇武古渡码头”项目，力争将“泉州船厂”打造成为国内领先的绿色科技型海洋装备修造基地。发挥集团在泛交通领域的综合实力和竞争优势，催生土地综合开发，中国陶瓷电商物流园、石化陆地港服务中心、海峡雕艺文化产业园等一批县域特色物流园项目策划生成落地。紧抓国家新基建战略机遇，布局轨道交通。抢滩“新交通”，规划大数据产业，成立首家市属国有全资信息化企业，积极服务数字泉州，主导全市公共数据资源开发利用的作用逐步凸显。市政务数据汇聚共享平台、市公共信用信息平台、南洋华裔族群寻根谒祖平台、全市核酸检测平台等一批数字项目有序推进。组建百亿新交通基金，成立基金管理公司，支撑泉州新交通、新基建及集团战略项目落地。</w:t>
      </w: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r>
        <w:rPr>
          <w:rFonts w:hint="eastAsia"/>
        </w:rPr>
        <w:t>乘风破浪踏歌行，大道通衢向未来。承载时代赋予的责任与使命，肩负市委、市政府的期盼与重托，泉州交发集团站在“十四五”新的起点上，坚持以习近平新时代中国特色社会主义思想为指导，按照新一轮国资国企改革发展部署，以交通基础设施投融建管运、政府大数据建运管为“两个核心”，积极培育交通投资、交通建设、交通运输、交通生态、交通资产以及数字信息“六个板块”业务新局，着力构建“大交通”格局、“大数据”网络，打造成为具备核心竞争力的现代交通产业投资运营及城市大数据运营综合服务提供商，成为泉州市交通基础设施建设的主力军、保障和改善交通民生的主载体、综合交通产业运营开发的主平台、大数据产业发展的主导者，全方位推动高质量发展超越、助力全面建设社会主义现代化国家泉州篇章！</w:t>
      </w:r>
    </w:p>
    <w:p>
      <w:pPr>
        <w:pStyle w:val="6"/>
        <w:keepNext w:val="0"/>
        <w:keepLines w:val="0"/>
        <w:pageBreakBefore w:val="0"/>
        <w:widowControl w:val="0"/>
        <w:kinsoku/>
        <w:wordWrap/>
        <w:overflowPunct/>
        <w:topLinePunct w:val="0"/>
        <w:autoSpaceDE/>
        <w:autoSpaceDN/>
        <w:bidi w:val="0"/>
        <w:adjustRightInd/>
        <w:snapToGrid/>
        <w:spacing w:line="54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小标宋简体" w:eastAsia="方正小标宋简体"/>
        </w:rPr>
      </w:pPr>
      <w:bookmarkStart w:id="0" w:name="_GoBack"/>
      <w:bookmarkEnd w:id="0"/>
      <w:r>
        <w:rPr>
          <w:rFonts w:hint="eastAsia" w:ascii="方正小标宋简体" w:eastAsia="方正小标宋简体"/>
        </w:rPr>
        <w:t>权属企业</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1．泉州市路桥建设开发有限公司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eastAsia="方正楷体简体"/>
          <w:sz w:val="30"/>
          <w:szCs w:val="30"/>
        </w:rPr>
      </w:pPr>
      <w:r>
        <w:rPr>
          <w:rFonts w:hint="eastAsia" w:ascii="楷体" w:hAnsi="楷体" w:eastAsia="楷体" w:cs="楷体"/>
          <w:sz w:val="30"/>
          <w:szCs w:val="30"/>
          <w:lang w:eastAsia="zh-CN"/>
        </w:rPr>
        <w:t>——</w:t>
      </w:r>
      <w:r>
        <w:rPr>
          <w:rFonts w:hint="eastAsia" w:ascii="楷体" w:hAnsi="楷体" w:eastAsia="楷体" w:cs="楷体"/>
          <w:sz w:val="30"/>
          <w:szCs w:val="30"/>
        </w:rPr>
        <w:t>泉州市交通基础设施投资建设运营提供商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拥有公路（高速公路）、城市道路、铁路、桥（梁）、隧（道）、港口航道及交通工程的投资、建设、经营、管理及咨询资质，不断探索基建投融资、建设管理、咨询服务、项目运营新发展模式，持续为泉州市新交通基础设施建设注入新活力。</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2．福建省泉运实业集团有限公司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lang w:eastAsia="zh-CN"/>
        </w:rPr>
      </w:pPr>
      <w:r>
        <w:rPr>
          <w:rFonts w:hint="eastAsia" w:ascii="楷体" w:hAnsi="楷体" w:eastAsia="楷体" w:cs="楷体"/>
          <w:sz w:val="30"/>
          <w:szCs w:val="30"/>
        </w:rPr>
        <w:t>——国家交通运输部重点联系</w:t>
      </w:r>
      <w:r>
        <w:rPr>
          <w:rFonts w:hint="eastAsia" w:ascii="楷体" w:hAnsi="楷体" w:eastAsia="楷体" w:cs="楷体"/>
          <w:sz w:val="30"/>
          <w:szCs w:val="30"/>
          <w:lang w:eastAsia="zh-CN"/>
        </w:rPr>
        <w:t>单位</w:t>
      </w:r>
      <w:r>
        <w:rPr>
          <w:rFonts w:hint="eastAsia" w:ascii="楷体" w:hAnsi="楷体" w:eastAsia="楷体" w:cs="楷体"/>
          <w:sz w:val="30"/>
          <w:szCs w:val="30"/>
        </w:rPr>
        <w:t>、福建省</w:t>
      </w:r>
      <w:r>
        <w:rPr>
          <w:rFonts w:hint="eastAsia" w:ascii="楷体" w:hAnsi="楷体" w:eastAsia="楷体" w:cs="楷体"/>
          <w:sz w:val="30"/>
          <w:szCs w:val="30"/>
          <w:lang w:eastAsia="zh-CN"/>
        </w:rPr>
        <w:t>规模最大的道路运输企业之一</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发挥泉州市道路运输主力军、泉州市交通资产投资运营主载体、泉州市汽车后市场主平台功能定位，致力打造集道路运输、汽车服务、现代物流、商业开发、资产运营为一体的多元化大型综合性企业集团。</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3．福建第一公路工程集团有限公司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lang w:eastAsia="zh-CN"/>
        </w:rPr>
        <w:t>——</w:t>
      </w:r>
      <w:r>
        <w:rPr>
          <w:rFonts w:hint="eastAsia" w:ascii="楷体" w:hAnsi="楷体" w:eastAsia="楷体" w:cs="楷体"/>
          <w:sz w:val="30"/>
          <w:szCs w:val="30"/>
        </w:rPr>
        <w:t>城市及交通基础设施建设全产业链及全生命周期管理提供商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具备公路工程施工总承包特级、公路工程设计行业甲级等资质，凭借丰富的施工经验、雄厚的技术力量、先进的机械设备和过硬的施工队伍，先后承建国内外颇具影响的大型工程项目。</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4．泉州市公交集团有限责任公司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——泉州区域最大的国有城市公共交通服务和公交场站管理运营商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现已形成营运常规公交、中型公交、社区巴士、公共自行车、人力三轮车和公共停车场组成的“六位一体”新型公共交通服务体系。</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5．泉州市交通投资有限责任公司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——泉州综合交通基础设施投资运营商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以“基础设施投资、建设、运营”为主业，以“基础设施养护、产业链开发、资产运作”为支撑。参与投资泉州湾跨海大桥等全市14条高速公路项目。</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6．泉州市搏浪科技</w:t>
      </w:r>
      <w:r>
        <w:rPr>
          <w:rFonts w:hint="eastAsia" w:ascii="黑体" w:hAnsi="黑体" w:eastAsia="黑体" w:cs="黑体"/>
          <w:sz w:val="30"/>
          <w:szCs w:val="30"/>
          <w:lang w:eastAsia="zh-CN"/>
        </w:rPr>
        <w:t>集团</w:t>
      </w:r>
      <w:r>
        <w:rPr>
          <w:rFonts w:hint="eastAsia" w:ascii="黑体" w:hAnsi="黑体" w:eastAsia="黑体" w:cs="黑体"/>
          <w:sz w:val="30"/>
          <w:szCs w:val="30"/>
        </w:rPr>
        <w:t>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——智慧信息化服务供应商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集研发、运维、服务为一体，深耕交通信息化领域，全面拓展信息化业务场景，深度布局产业新模式新业态，打造新型智慧城市产业生态，致力于成为泉州地区最具影响力的国有信息化企业。</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7．泉州</w:t>
      </w:r>
      <w:r>
        <w:rPr>
          <w:rFonts w:hint="eastAsia" w:ascii="黑体" w:hAnsi="黑体" w:eastAsia="黑体" w:cs="黑体"/>
          <w:sz w:val="30"/>
          <w:szCs w:val="30"/>
          <w:lang w:eastAsia="zh-CN"/>
        </w:rPr>
        <w:t>市能源发展集团</w:t>
      </w:r>
      <w:r>
        <w:rPr>
          <w:rFonts w:hint="eastAsia" w:ascii="黑体" w:hAnsi="黑体" w:eastAsia="黑体" w:cs="黑体"/>
          <w:sz w:val="30"/>
          <w:szCs w:val="30"/>
        </w:rPr>
        <w:t>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lang w:eastAsia="zh-CN"/>
        </w:rPr>
      </w:pPr>
      <w:r>
        <w:rPr>
          <w:rFonts w:hint="eastAsia" w:ascii="楷体" w:hAnsi="楷体" w:eastAsia="楷体" w:cs="楷体"/>
          <w:sz w:val="30"/>
          <w:szCs w:val="30"/>
        </w:rPr>
        <w:t>——</w:t>
      </w:r>
      <w:r>
        <w:rPr>
          <w:rFonts w:hint="eastAsia" w:ascii="楷体" w:hAnsi="楷体" w:eastAsia="楷体" w:cs="楷体"/>
          <w:sz w:val="30"/>
          <w:szCs w:val="30"/>
          <w:lang w:eastAsia="zh-CN"/>
        </w:rPr>
        <w:t>打造具备核心竞争力的区域一流能源产业领军者</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sz w:val="30"/>
          <w:szCs w:val="30"/>
        </w:rPr>
      </w:pPr>
      <w:r>
        <w:rPr>
          <w:sz w:val="30"/>
          <w:szCs w:val="30"/>
        </w:rPr>
        <w:t>构建以</w:t>
      </w:r>
      <w:r>
        <w:rPr>
          <w:rFonts w:hint="eastAsia"/>
          <w:sz w:val="30"/>
          <w:szCs w:val="30"/>
          <w:lang w:eastAsia="zh-CN"/>
        </w:rPr>
        <w:t>“综合能源产业”为核心，“场站运营</w:t>
      </w:r>
      <w:r>
        <w:rPr>
          <w:rFonts w:hint="eastAsia"/>
          <w:sz w:val="30"/>
          <w:szCs w:val="30"/>
          <w:lang w:val="en-US" w:eastAsia="zh-CN"/>
        </w:rPr>
        <w:t>+资本运作</w:t>
      </w:r>
      <w:r>
        <w:rPr>
          <w:rFonts w:hint="eastAsia"/>
          <w:sz w:val="30"/>
          <w:szCs w:val="30"/>
          <w:lang w:eastAsia="zh-CN"/>
        </w:rPr>
        <w:t>”为两翼，形成以传统能源为基础，光伏、充电为支撑，多种新能源为引领的产业布局，重点发挥泉州市能源投融建管运主力军作用，打造具备核心竞争力的区域一流能源产业领军者</w:t>
      </w:r>
      <w:r>
        <w:rPr>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8．泉州交发置业投资</w:t>
      </w:r>
      <w:r>
        <w:rPr>
          <w:rFonts w:hint="eastAsia" w:ascii="黑体" w:hAnsi="黑体" w:eastAsia="黑体" w:cs="黑体"/>
          <w:color w:val="auto"/>
          <w:sz w:val="30"/>
          <w:szCs w:val="30"/>
          <w:lang w:eastAsia="zh-CN"/>
        </w:rPr>
        <w:t>集团</w:t>
      </w:r>
      <w:r>
        <w:rPr>
          <w:rFonts w:hint="eastAsia" w:ascii="黑体" w:hAnsi="黑体" w:eastAsia="黑体" w:cs="黑体"/>
          <w:color w:val="auto"/>
          <w:sz w:val="30"/>
          <w:szCs w:val="30"/>
        </w:rPr>
        <w:t>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color w:val="auto"/>
          <w:sz w:val="30"/>
          <w:szCs w:val="30"/>
        </w:rPr>
      </w:pPr>
      <w:r>
        <w:rPr>
          <w:rFonts w:hint="eastAsia" w:ascii="楷体" w:hAnsi="楷体" w:eastAsia="楷体" w:cs="楷体"/>
          <w:color w:val="auto"/>
          <w:sz w:val="30"/>
          <w:szCs w:val="30"/>
        </w:rPr>
        <w:t>——泉州地产综合开发和运营服务商</w:t>
      </w:r>
    </w:p>
    <w:p>
      <w:pPr>
        <w:keepNext w:val="0"/>
        <w:keepLines w:val="0"/>
        <w:pageBreakBefore w:val="0"/>
        <w:widowControl w:val="0"/>
        <w:kinsoku/>
        <w:wordWrap/>
        <w:overflowPunct/>
        <w:topLinePunct w:val="0"/>
        <w:autoSpaceDE/>
        <w:autoSpaceDN/>
        <w:bidi w:val="0"/>
        <w:adjustRightInd/>
        <w:snapToGrid/>
        <w:spacing w:line="520" w:lineRule="exact"/>
        <w:ind w:firstLine="600"/>
        <w:jc w:val="both"/>
        <w:textAlignment w:val="auto"/>
        <w:rPr>
          <w:color w:val="auto"/>
          <w:sz w:val="30"/>
          <w:szCs w:val="30"/>
        </w:rPr>
      </w:pPr>
      <w:r>
        <w:rPr>
          <w:color w:val="auto"/>
          <w:sz w:val="30"/>
          <w:szCs w:val="30"/>
        </w:rPr>
        <w:t>致力于土地资源综合开发、特色产业园建设运营和建材生产经营，目前已落地中国陶瓷电商物流园</w:t>
      </w:r>
      <w:r>
        <w:rPr>
          <w:color w:val="auto"/>
          <w:sz w:val="30"/>
          <w:szCs w:val="30"/>
          <w:highlight w:val="none"/>
        </w:rPr>
        <w:t>、</w:t>
      </w:r>
      <w:r>
        <w:rPr>
          <w:rFonts w:hint="eastAsia"/>
          <w:color w:val="auto"/>
          <w:sz w:val="30"/>
          <w:szCs w:val="30"/>
          <w:highlight w:val="none"/>
          <w:lang w:eastAsia="zh-CN"/>
        </w:rPr>
        <w:t>石化陆地港、</w:t>
      </w:r>
      <w:r>
        <w:rPr>
          <w:color w:val="auto"/>
          <w:sz w:val="30"/>
          <w:szCs w:val="30"/>
          <w:highlight w:val="none"/>
        </w:rPr>
        <w:t>海</w:t>
      </w:r>
      <w:r>
        <w:rPr>
          <w:color w:val="auto"/>
          <w:sz w:val="30"/>
          <w:szCs w:val="30"/>
        </w:rPr>
        <w:t>峡雕艺文化产业园、泉州船厂等项目，建材</w:t>
      </w:r>
      <w:r>
        <w:rPr>
          <w:rFonts w:hint="eastAsia"/>
          <w:color w:val="auto"/>
          <w:sz w:val="30"/>
          <w:szCs w:val="30"/>
          <w:lang w:eastAsia="zh-CN"/>
        </w:rPr>
        <w:t>、化工品</w:t>
      </w:r>
      <w:r>
        <w:rPr>
          <w:color w:val="auto"/>
          <w:sz w:val="30"/>
          <w:szCs w:val="30"/>
        </w:rPr>
        <w:t>供应链贸易已初具规模。</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sz w:val="30"/>
          <w:szCs w:val="30"/>
        </w:rPr>
      </w:pPr>
      <w:r>
        <w:rPr>
          <w:rFonts w:hint="eastAsia" w:ascii="黑体" w:hAnsi="黑体" w:eastAsia="黑体" w:cs="黑体"/>
          <w:sz w:val="30"/>
          <w:szCs w:val="30"/>
        </w:rPr>
        <w:t>9．泉州大数据运营服务有限公司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sz w:val="30"/>
          <w:szCs w:val="30"/>
        </w:rPr>
      </w:pPr>
      <w:r>
        <w:rPr>
          <w:rFonts w:hint="eastAsia" w:ascii="楷体" w:hAnsi="楷体" w:eastAsia="楷体" w:cs="楷体"/>
          <w:sz w:val="30"/>
          <w:szCs w:val="30"/>
        </w:rPr>
        <w:t>——市政务数据汇聚共享平台技术服务单位、市公共数据资源开发利用主体运营单位</w:t>
      </w:r>
    </w:p>
    <w:p>
      <w:pPr>
        <w:keepNext w:val="0"/>
        <w:keepLines w:val="0"/>
        <w:pageBreakBefore w:val="0"/>
        <w:widowControl w:val="0"/>
        <w:kinsoku/>
        <w:wordWrap/>
        <w:overflowPunct/>
        <w:topLinePunct w:val="0"/>
        <w:autoSpaceDE/>
        <w:autoSpaceDN/>
        <w:bidi w:val="0"/>
        <w:adjustRightInd/>
        <w:snapToGrid/>
        <w:spacing w:line="520" w:lineRule="exact"/>
        <w:ind w:firstLine="600"/>
        <w:jc w:val="both"/>
        <w:textAlignment w:val="auto"/>
        <w:rPr>
          <w:sz w:val="30"/>
          <w:szCs w:val="30"/>
        </w:rPr>
      </w:pPr>
      <w:r>
        <w:rPr>
          <w:sz w:val="30"/>
          <w:szCs w:val="30"/>
        </w:rPr>
        <w:t>拥有专业化运营团队，主要负责数据合法合规的开发应用与开放共享、大数据基础设施建设运营，已承接涵盖“三平台一中心”我市公共数据资源运营体系建设。</w:t>
      </w:r>
    </w:p>
    <w:p>
      <w:pPr>
        <w:keepNext w:val="0"/>
        <w:keepLines w:val="0"/>
        <w:pageBreakBefore w:val="0"/>
        <w:widowControl w:val="0"/>
        <w:kinsoku/>
        <w:wordWrap/>
        <w:overflowPunct/>
        <w:topLinePunct w:val="0"/>
        <w:autoSpaceDE/>
        <w:autoSpaceDN/>
        <w:bidi w:val="0"/>
        <w:adjustRightInd/>
        <w:snapToGrid/>
        <w:spacing w:line="520" w:lineRule="exact"/>
        <w:ind w:firstLine="6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sz w:val="30"/>
          <w:szCs w:val="30"/>
          <w:highlight w:val="none"/>
          <w:lang w:val="en-US" w:eastAsia="zh-CN"/>
        </w:rPr>
        <w:t>10.</w:t>
      </w:r>
      <w:r>
        <w:rPr>
          <w:rFonts w:hint="eastAsia" w:ascii="黑体" w:hAnsi="黑体" w:eastAsia="黑体" w:cs="黑体"/>
          <w:kern w:val="2"/>
          <w:sz w:val="30"/>
          <w:szCs w:val="30"/>
          <w:lang w:val="en-US" w:eastAsia="zh-CN" w:bidi="ar-SA"/>
        </w:rPr>
        <w:t>泉州交发交通产业投资集团有限责任公司</w:t>
      </w:r>
    </w:p>
    <w:p>
      <w:pPr>
        <w:pStyle w:val="6"/>
        <w:keepNext w:val="0"/>
        <w:keepLines w:val="0"/>
        <w:pageBreakBefore w:val="0"/>
        <w:widowControl w:val="0"/>
        <w:kinsoku/>
        <w:wordWrap/>
        <w:overflowPunct/>
        <w:topLinePunct w:val="0"/>
        <w:autoSpaceDE/>
        <w:autoSpaceDN/>
        <w:bidi w:val="0"/>
        <w:adjustRightInd/>
        <w:snapToGrid/>
        <w:spacing w:after="0" w:line="520" w:lineRule="exact"/>
        <w:ind w:firstLine="600" w:firstLineChars="200"/>
        <w:textAlignment w:val="auto"/>
        <w:rPr>
          <w:rFonts w:hint="eastAsia" w:ascii="楷体" w:hAnsi="楷体" w:eastAsia="楷体" w:cs="楷体"/>
          <w:sz w:val="30"/>
          <w:szCs w:val="30"/>
          <w:lang w:eastAsia="zh-CN"/>
        </w:rPr>
      </w:pPr>
      <w:r>
        <w:rPr>
          <w:rFonts w:hint="eastAsia" w:ascii="楷体" w:hAnsi="楷体" w:eastAsia="楷体" w:cs="楷体"/>
          <w:sz w:val="30"/>
          <w:szCs w:val="30"/>
          <w:lang w:eastAsia="zh-CN"/>
        </w:rPr>
        <w:t>——区域性综合类金融</w:t>
      </w:r>
    </w:p>
    <w:p>
      <w:pPr>
        <w:pStyle w:val="6"/>
        <w:keepNext w:val="0"/>
        <w:keepLines w:val="0"/>
        <w:pageBreakBefore w:val="0"/>
        <w:widowControl w:val="0"/>
        <w:kinsoku/>
        <w:wordWrap/>
        <w:overflowPunct/>
        <w:topLinePunct w:val="0"/>
        <w:autoSpaceDE/>
        <w:autoSpaceDN/>
        <w:bidi w:val="0"/>
        <w:adjustRightInd/>
        <w:snapToGrid/>
        <w:spacing w:after="0" w:line="520" w:lineRule="exact"/>
        <w:ind w:firstLine="600" w:firstLineChars="200"/>
        <w:textAlignment w:val="auto"/>
        <w:rPr>
          <w:rFonts w:hint="default" w:ascii="楷体" w:hAnsi="楷体" w:eastAsia="方正仿宋简体" w:cs="楷体"/>
          <w:sz w:val="30"/>
          <w:szCs w:val="30"/>
          <w:lang w:val="en-US" w:eastAsia="zh-CN"/>
        </w:rPr>
      </w:pPr>
      <w:r>
        <w:rPr>
          <w:rFonts w:hint="eastAsia" w:ascii="Times New Roman" w:hAnsi="Times New Roman" w:cs="Times New Roman"/>
          <w:sz w:val="30"/>
          <w:szCs w:val="30"/>
          <w:lang w:eastAsia="zh-CN"/>
        </w:rPr>
        <w:t>致力于打造以财务共享为核心的“四位一体”的金融服务平台和以基金管理公司为核心的“资本运作</w:t>
      </w:r>
      <w:r>
        <w:rPr>
          <w:rFonts w:hint="eastAsia" w:ascii="Times New Roman" w:hAnsi="Times New Roman" w:cs="Times New Roman"/>
          <w:sz w:val="30"/>
          <w:szCs w:val="30"/>
          <w:lang w:val="en-US" w:eastAsia="zh-CN"/>
        </w:rPr>
        <w:t>+战略收购+基金投资+股权投资+财务性投资”的投资管理平台。充分利用股权杠杆、债权杠杆，构建股权融资、物权融资、商业保理、保险经纪及供应链金融等区域性综合类金融体系。</w:t>
      </w:r>
    </w:p>
    <w:p>
      <w:pPr>
        <w:pStyle w:val="6"/>
        <w:keepNext w:val="0"/>
        <w:keepLines w:val="0"/>
        <w:pageBreakBefore w:val="0"/>
        <w:widowControl w:val="0"/>
        <w:kinsoku/>
        <w:wordWrap/>
        <w:overflowPunct/>
        <w:topLinePunct w:val="0"/>
        <w:autoSpaceDE/>
        <w:autoSpaceDN/>
        <w:bidi w:val="0"/>
        <w:adjustRightInd/>
        <w:snapToGrid/>
        <w:spacing w:after="0"/>
        <w:ind w:firstLine="600" w:firstLineChars="200"/>
        <w:textAlignment w:val="auto"/>
        <w:rPr>
          <w:rFonts w:hint="default" w:ascii="楷体" w:hAnsi="楷体" w:eastAsia="方正仿宋简体" w:cs="楷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NWMwZjNhZGZmYzYwMjRkYjljYzE0Nzc4YWE4NjEifQ=="/>
    <w:docVar w:name="KSO_WPS_MARK_KEY" w:val="f63a146d-69e7-45f4-aafc-258d0f4ed2c5"/>
  </w:docVars>
  <w:rsids>
    <w:rsidRoot w:val="10087E7F"/>
    <w:rsid w:val="10087E7F"/>
    <w:rsid w:val="1BF22C02"/>
    <w:rsid w:val="1F952F2E"/>
    <w:rsid w:val="3A31356D"/>
    <w:rsid w:val="42B15987"/>
    <w:rsid w:val="4B9656D7"/>
    <w:rsid w:val="4C8D6323"/>
    <w:rsid w:val="506D4493"/>
    <w:rsid w:val="5882089A"/>
    <w:rsid w:val="646A2CFD"/>
    <w:rsid w:val="7A224C1D"/>
    <w:rsid w:val="7B70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both"/>
    </w:pPr>
    <w:rPr>
      <w:rFonts w:ascii="Times New Roman" w:hAnsi="Times New Roman" w:eastAsia="方正仿宋简体" w:cs="Times New Roman"/>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unhideWhenUsed/>
    <w:qFormat/>
    <w:uiPriority w:val="99"/>
    <w:pPr>
      <w:tabs>
        <w:tab w:val="left" w:pos="4606"/>
      </w:tabs>
      <w:ind w:firstLine="420" w:firstLineChars="200"/>
    </w:pPr>
  </w:style>
  <w:style w:type="paragraph" w:styleId="3">
    <w:name w:val="Body Text Indent"/>
    <w:basedOn w:val="1"/>
    <w:next w:val="4"/>
    <w:qFormat/>
    <w:uiPriority w:val="0"/>
    <w:pPr>
      <w:ind w:firstLine="720" w:firstLineChars="225"/>
    </w:pPr>
    <w:rPr>
      <w:rFonts w:ascii="仿宋_GB2312" w:eastAsia="仿宋_GB2312"/>
      <w:sz w:val="32"/>
      <w:szCs w:val="32"/>
    </w:rPr>
  </w:style>
  <w:style w:type="paragraph" w:styleId="4">
    <w:name w:val="Body Text"/>
    <w:basedOn w:val="1"/>
    <w:next w:val="5"/>
    <w:qFormat/>
    <w:uiPriority w:val="0"/>
    <w:pPr>
      <w:spacing w:after="120"/>
    </w:pPr>
    <w:rPr>
      <w:rFonts w:ascii="Calibri" w:hAnsi="Calibri"/>
      <w:szCs w:val="22"/>
    </w:rPr>
  </w:style>
  <w:style w:type="paragraph" w:styleId="5">
    <w:name w:val="Body Text Indent 3"/>
    <w:basedOn w:val="1"/>
    <w:next w:val="1"/>
    <w:qFormat/>
    <w:uiPriority w:val="0"/>
    <w:pPr>
      <w:adjustRightInd w:val="0"/>
      <w:snapToGrid w:val="0"/>
      <w:spacing w:line="360" w:lineRule="auto"/>
      <w:ind w:firstLine="420"/>
    </w:pPr>
    <w:rPr>
      <w:rFonts w:hint="eastAsia" w:ascii="仿宋_GB2312" w:hAnsi="Times New Roman" w:eastAsia="仿宋_GB2312" w:cs="Times New Roman"/>
      <w:b/>
      <w:bCs/>
      <w:sz w:val="32"/>
      <w:szCs w:val="32"/>
    </w:rPr>
  </w:style>
  <w:style w:type="paragraph" w:styleId="6">
    <w:name w:val="Body Text First Indent"/>
    <w:basedOn w:val="4"/>
    <w:qFormat/>
    <w:uiPriority w:val="0"/>
    <w:pPr>
      <w:ind w:firstLine="420" w:firstLineChars="100"/>
    </w:pPr>
  </w:style>
  <w:style w:type="paragraph" w:styleId="7">
    <w:name w:val="Title"/>
    <w:basedOn w:val="1"/>
    <w:next w:val="1"/>
    <w:qFormat/>
    <w:uiPriority w:val="0"/>
    <w:pPr>
      <w:spacing w:line="600" w:lineRule="exact"/>
      <w:jc w:val="center"/>
      <w:outlineLvl w:val="0"/>
    </w:pPr>
    <w:rPr>
      <w:rFonts w:eastAsia="方正小标宋简体"/>
      <w:bCs/>
      <w:sz w:val="44"/>
      <w:szCs w:val="32"/>
    </w:rPr>
  </w:style>
  <w:style w:type="character" w:customStyle="1" w:styleId="10">
    <w:name w:val="NormalCharacter"/>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3542</Words>
  <Characters>3604</Characters>
  <Lines>0</Lines>
  <Paragraphs>0</Paragraphs>
  <TotalTime>1</TotalTime>
  <ScaleCrop>false</ScaleCrop>
  <LinksUpToDate>false</LinksUpToDate>
  <CharactersWithSpaces>3616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2021-04-29T03:31:00Z</dcterms:created>
  <dc:creator>Administrator</dc:creator>
  <cp:lastModifiedBy>兰玮</cp:lastModifiedBy>
  <cp:lastPrinted>2022-05-16T04:56:00Z</cp:lastPrinted>
  <dcterms:modified xsi:type="dcterms:W3CDTF">2022-12-30T06:53:36Z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5216C5ECB3F643E99597429C4396CF47</vt:lpwstr>
  </property>
</Properties>
</file>