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before="161" w:beforeLines="50" w:beforeAutospacing="0" w:after="320" w:afterLines="100" w:line="540" w:lineRule="exact"/>
        <w:jc w:val="center"/>
        <w:textAlignment w:val="auto"/>
        <w:rPr>
          <w:rFonts w:hint="eastAsia" w:ascii="方正小标宋简体" w:eastAsia="方正小标宋简体"/>
          <w:spacing w:val="0"/>
          <w:sz w:val="44"/>
          <w:szCs w:val="44"/>
          <w:lang w:val="en-US" w:eastAsia="zh-CN"/>
        </w:rPr>
      </w:pPr>
      <w:r>
        <w:rPr>
          <w:rFonts w:hint="eastAsia" w:ascii="方正小标宋简体" w:hAnsi="方正小标宋简体" w:eastAsia="方正小标宋简体" w:cs="方正小标宋简体"/>
          <w:sz w:val="44"/>
          <w:szCs w:val="44"/>
        </w:rPr>
        <w:t>新疆</w:t>
      </w:r>
      <w:r>
        <w:rPr>
          <w:rFonts w:hint="eastAsia" w:ascii="方正小标宋简体" w:hAnsi="方正小标宋简体" w:eastAsia="方正小标宋简体" w:cs="方正小标宋简体"/>
          <w:sz w:val="44"/>
          <w:szCs w:val="44"/>
          <w:lang w:val="en-US" w:eastAsia="zh-CN"/>
        </w:rPr>
        <w:t>南岗投资有限责任公司</w:t>
      </w:r>
      <w:r>
        <w:rPr>
          <w:rFonts w:hint="eastAsia" w:ascii="方正小标宋简体" w:eastAsia="方正小标宋简体"/>
          <w:spacing w:val="0"/>
          <w:sz w:val="44"/>
          <w:szCs w:val="44"/>
          <w:lang w:val="en-US" w:eastAsia="zh-CN"/>
        </w:rPr>
        <w:t>市场化选聘经理层岗位表</w:t>
      </w:r>
    </w:p>
    <w:tbl>
      <w:tblPr>
        <w:tblStyle w:val="5"/>
        <w:tblW w:w="14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3"/>
        <w:gridCol w:w="785"/>
        <w:gridCol w:w="923"/>
        <w:gridCol w:w="946"/>
        <w:gridCol w:w="1245"/>
        <w:gridCol w:w="1433"/>
        <w:gridCol w:w="3714"/>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序号</w:t>
            </w:r>
          </w:p>
        </w:tc>
        <w:tc>
          <w:tcPr>
            <w:tcW w:w="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岗位</w:t>
            </w:r>
          </w:p>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名称</w:t>
            </w:r>
          </w:p>
        </w:tc>
        <w:tc>
          <w:tcPr>
            <w:tcW w:w="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人数</w:t>
            </w:r>
          </w:p>
        </w:tc>
        <w:tc>
          <w:tcPr>
            <w:tcW w:w="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学历</w:t>
            </w:r>
          </w:p>
        </w:tc>
        <w:tc>
          <w:tcPr>
            <w:tcW w:w="12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专业</w:t>
            </w:r>
          </w:p>
        </w:tc>
        <w:tc>
          <w:tcPr>
            <w:tcW w:w="14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default"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薪资标准</w:t>
            </w:r>
          </w:p>
        </w:tc>
        <w:tc>
          <w:tcPr>
            <w:tcW w:w="37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任职资格</w:t>
            </w:r>
          </w:p>
        </w:tc>
        <w:tc>
          <w:tcPr>
            <w:tcW w:w="4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仿宋_GB2312" w:hAnsi="仿宋_GB2312" w:eastAsia="仿宋_GB2312" w:cs="仿宋_GB2312"/>
                <w:b/>
                <w:bCs/>
                <w:spacing w:val="0"/>
                <w:kern w:val="2"/>
                <w:sz w:val="21"/>
                <w:szCs w:val="21"/>
                <w:lang w:val="en-US" w:eastAsia="zh-CN" w:bidi="ar-SA"/>
              </w:rPr>
            </w:pPr>
            <w:r>
              <w:rPr>
                <w:rFonts w:hint="eastAsia" w:ascii="仿宋_GB2312" w:hAnsi="仿宋_GB2312" w:eastAsia="仿宋_GB2312" w:cs="仿宋_GB2312"/>
                <w:b/>
                <w:bCs/>
                <w:spacing w:val="0"/>
                <w:kern w:val="2"/>
                <w:sz w:val="21"/>
                <w:szCs w:val="21"/>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3"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仿宋_GB2312" w:hAnsi="仿宋_GB2312" w:eastAsia="仿宋_GB2312" w:cs="仿宋_GB2312"/>
                <w:spacing w:val="0"/>
                <w:kern w:val="2"/>
                <w:sz w:val="21"/>
                <w:szCs w:val="21"/>
                <w:lang w:val="en-US" w:eastAsia="zh-CN" w:bidi="ar-SA"/>
              </w:rPr>
            </w:pPr>
            <w:bookmarkStart w:id="0" w:name="_GoBack" w:colFirst="5" w:colLast="6"/>
            <w:r>
              <w:rPr>
                <w:rFonts w:hint="eastAsia" w:ascii="仿宋_GB2312" w:hAnsi="仿宋_GB2312" w:eastAsia="仿宋_GB2312" w:cs="仿宋_GB2312"/>
                <w:spacing w:val="0"/>
                <w:kern w:val="2"/>
                <w:sz w:val="21"/>
                <w:szCs w:val="21"/>
                <w:lang w:val="en-US" w:eastAsia="zh-CN" w:bidi="ar-SA"/>
              </w:rPr>
              <w:t>1</w:t>
            </w:r>
          </w:p>
        </w:tc>
        <w:tc>
          <w:tcPr>
            <w:tcW w:w="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420" w:hanging="420" w:hangingChars="200"/>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总</w:t>
            </w:r>
          </w:p>
          <w:p>
            <w:pPr>
              <w:keepNext w:val="0"/>
              <w:keepLines w:val="0"/>
              <w:pageBreakBefore w:val="0"/>
              <w:widowControl w:val="0"/>
              <w:kinsoku/>
              <w:wordWrap/>
              <w:overflowPunct/>
              <w:topLinePunct w:val="0"/>
              <w:autoSpaceDE/>
              <w:autoSpaceDN/>
              <w:bidi w:val="0"/>
              <w:adjustRightInd/>
              <w:snapToGrid/>
              <w:spacing w:beforeAutospacing="0" w:line="320" w:lineRule="exact"/>
              <w:ind w:left="420" w:hanging="420" w:hangingChars="200"/>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工</w:t>
            </w:r>
          </w:p>
          <w:p>
            <w:pPr>
              <w:keepNext w:val="0"/>
              <w:keepLines w:val="0"/>
              <w:pageBreakBefore w:val="0"/>
              <w:widowControl w:val="0"/>
              <w:kinsoku/>
              <w:wordWrap/>
              <w:overflowPunct/>
              <w:topLinePunct w:val="0"/>
              <w:autoSpaceDE/>
              <w:autoSpaceDN/>
              <w:bidi w:val="0"/>
              <w:adjustRightInd/>
              <w:snapToGrid/>
              <w:spacing w:beforeAutospacing="0" w:line="320" w:lineRule="exact"/>
              <w:ind w:left="420" w:hanging="420" w:hangingChars="200"/>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程</w:t>
            </w:r>
          </w:p>
          <w:p>
            <w:pPr>
              <w:keepNext w:val="0"/>
              <w:keepLines w:val="0"/>
              <w:pageBreakBefore w:val="0"/>
              <w:widowControl w:val="0"/>
              <w:kinsoku/>
              <w:wordWrap/>
              <w:overflowPunct/>
              <w:topLinePunct w:val="0"/>
              <w:autoSpaceDE/>
              <w:autoSpaceDN/>
              <w:bidi w:val="0"/>
              <w:adjustRightInd/>
              <w:snapToGrid/>
              <w:spacing w:beforeAutospacing="0" w:line="320" w:lineRule="exact"/>
              <w:ind w:left="420" w:hanging="420" w:hangingChars="200"/>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师</w:t>
            </w:r>
          </w:p>
        </w:tc>
        <w:tc>
          <w:tcPr>
            <w:tcW w:w="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both"/>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1</w:t>
            </w:r>
          </w:p>
        </w:tc>
        <w:tc>
          <w:tcPr>
            <w:tcW w:w="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default"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大学本科（含同等学历）以上</w:t>
            </w:r>
          </w:p>
        </w:tc>
        <w:tc>
          <w:tcPr>
            <w:tcW w:w="12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不限（具有英语、经济管理、法律、企业管理等相关专业）</w:t>
            </w:r>
          </w:p>
        </w:tc>
        <w:tc>
          <w:tcPr>
            <w:tcW w:w="14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default" w:ascii="仿宋_GB2312" w:hAnsi="仿宋_GB2312" w:eastAsia="仿宋_GB2312" w:cs="仿宋_GB2312"/>
                <w:color w:val="auto"/>
                <w:spacing w:val="0"/>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由年度薪酬（基本年薪、绩效年薪）和任期激励两部分构成。根据《第四师国资委监管企业负责人经营业绩考核办法（试行）》《第四师国资委监管企业负责人薪酬管理办法（试行）》确定</w:t>
            </w:r>
          </w:p>
        </w:tc>
        <w:tc>
          <w:tcPr>
            <w:tcW w:w="3714"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1.具有</w:t>
            </w:r>
            <w:r>
              <w:rPr>
                <w:rFonts w:hint="eastAsia" w:ascii="仿宋_GB2312" w:hAnsi="仿宋_GB2312" w:eastAsia="仿宋_GB2312" w:cs="仿宋_GB2312"/>
                <w:color w:val="auto"/>
                <w:lang w:val="en-US" w:eastAsia="zh-CN"/>
              </w:rPr>
              <w:t>工程师及以上</w:t>
            </w:r>
            <w:r>
              <w:rPr>
                <w:rFonts w:hint="eastAsia" w:ascii="仿宋_GB2312" w:hAnsi="仿宋_GB2312" w:eastAsia="仿宋_GB2312" w:cs="仿宋_GB2312"/>
                <w:color w:val="auto"/>
              </w:rPr>
              <w:t>相应</w:t>
            </w:r>
            <w:r>
              <w:rPr>
                <w:rFonts w:hint="eastAsia" w:ascii="仿宋_GB2312" w:hAnsi="仿宋_GB2312" w:eastAsia="仿宋_GB2312" w:cs="仿宋_GB2312"/>
                <w:color w:val="auto"/>
                <w:lang w:val="en-US" w:eastAsia="zh-CN"/>
              </w:rPr>
              <w:t>专业</w:t>
            </w:r>
            <w:r>
              <w:rPr>
                <w:rFonts w:hint="eastAsia" w:ascii="仿宋_GB2312" w:hAnsi="仿宋_GB2312" w:eastAsia="仿宋_GB2312" w:cs="仿宋_GB2312"/>
                <w:color w:val="auto"/>
              </w:rPr>
              <w:t>等级执（职）业资格证书</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高级职称优先考虑</w:t>
            </w:r>
            <w:r>
              <w:rPr>
                <w:rFonts w:hint="eastAsia" w:ascii="仿宋_GB2312" w:hAnsi="仿宋_GB2312" w:eastAsia="仿宋_GB2312" w:cs="仿宋_GB2312"/>
                <w:color w:val="auto"/>
              </w:rPr>
              <w:t>；</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具有国有企业高管3年以上（含3年）工作经历及国有企业中层管理岗位正职5年或正副职累积8年以上任职经历者优先；现任机关、企事业单位处级干部、正科级3年以上任职经历者优先；</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3.熟悉企业生产经营方面的法规、政策和业务；</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4.熟悉公司经营模式及管理体系</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color w:val="auto"/>
                <w:lang w:val="en-US" w:eastAsia="zh-CN"/>
              </w:rPr>
            </w:pPr>
            <w:r>
              <w:rPr>
                <w:rFonts w:hint="eastAsia"/>
                <w:color w:val="auto"/>
                <w:lang w:val="en-US" w:eastAsia="zh-CN"/>
              </w:rPr>
              <w:t>5.</w:t>
            </w:r>
            <w:r>
              <w:rPr>
                <w:rFonts w:hint="eastAsia" w:ascii="仿宋_GB2312" w:hAnsi="仿宋_GB2312" w:eastAsia="仿宋_GB2312" w:cs="仿宋_GB2312"/>
                <w:color w:val="auto"/>
                <w:kern w:val="0"/>
                <w:sz w:val="21"/>
                <w:szCs w:val="21"/>
                <w:lang w:val="en-US" w:eastAsia="zh-CN"/>
              </w:rPr>
              <w:t>主持或参与大型工程项目建设和技术改造项目并取得特殊贡献的优先。</w:t>
            </w:r>
          </w:p>
        </w:tc>
        <w:tc>
          <w:tcPr>
            <w:tcW w:w="4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1、分管公司招商引资工作，完成师市下达的招商引资目标任务；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2、负责公司科协、科技创新工作、新建及技术改造项目的管理，组织专业技术部门开展科技创新项目申报；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3、负责公司对下属公司的生产统计、绩效考核等工作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4、负责喀赞其煤矿有关工作的管理；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5、根据总经理的要求，提出经营工作的年度发展目标，并指导部门编制详细的年度 经营计划和考核办法；拥有对所属下级的工作的监督指挥权和考评权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6.负责招商引资项目对接、洽谈、协调和跟踪服务工作，协调外来投资客商及其投资项目运行过程中的困难和问题。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7.检查监督分管部门和对下属公司和各部门进行考核；</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8.组织科协开展工作，组织对公司各单位科技创新工作审核和奖励</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40" w:hRule="atLeast"/>
          <w:jc w:val="center"/>
        </w:trPr>
        <w:tc>
          <w:tcPr>
            <w:tcW w:w="5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default"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2</w:t>
            </w:r>
          </w:p>
        </w:tc>
        <w:tc>
          <w:tcPr>
            <w:tcW w:w="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副</w:t>
            </w:r>
          </w:p>
          <w:p>
            <w:pPr>
              <w:keepNext w:val="0"/>
              <w:keepLines w:val="0"/>
              <w:pageBreakBefore w:val="0"/>
              <w:widowControl w:val="0"/>
              <w:kinsoku/>
              <w:wordWrap/>
              <w:overflowPunct/>
              <w:topLinePunct w:val="0"/>
              <w:autoSpaceDE/>
              <w:autoSpaceDN/>
              <w:bidi w:val="0"/>
              <w:adjustRightInd/>
              <w:snapToGrid/>
              <w:spacing w:beforeAutospacing="0" w:line="320" w:lineRule="exact"/>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总</w:t>
            </w:r>
          </w:p>
          <w:p>
            <w:pPr>
              <w:keepNext w:val="0"/>
              <w:keepLines w:val="0"/>
              <w:pageBreakBefore w:val="0"/>
              <w:widowControl w:val="0"/>
              <w:kinsoku/>
              <w:wordWrap/>
              <w:overflowPunct/>
              <w:topLinePunct w:val="0"/>
              <w:autoSpaceDE/>
              <w:autoSpaceDN/>
              <w:bidi w:val="0"/>
              <w:adjustRightInd/>
              <w:snapToGrid/>
              <w:spacing w:beforeAutospacing="0" w:line="320" w:lineRule="exact"/>
              <w:jc w:val="center"/>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经</w:t>
            </w:r>
          </w:p>
          <w:p>
            <w:pPr>
              <w:keepNext w:val="0"/>
              <w:keepLines w:val="0"/>
              <w:pageBreakBefore w:val="0"/>
              <w:widowControl w:val="0"/>
              <w:kinsoku/>
              <w:wordWrap/>
              <w:overflowPunct/>
              <w:topLinePunct w:val="0"/>
              <w:autoSpaceDE/>
              <w:autoSpaceDN/>
              <w:bidi w:val="0"/>
              <w:adjustRightInd/>
              <w:snapToGrid/>
              <w:spacing w:beforeAutospacing="0" w:line="320" w:lineRule="exact"/>
              <w:jc w:val="center"/>
              <w:textAlignment w:val="auto"/>
              <w:rPr>
                <w:rFonts w:hint="default"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理</w:t>
            </w:r>
          </w:p>
        </w:tc>
        <w:tc>
          <w:tcPr>
            <w:tcW w:w="9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both"/>
              <w:textAlignment w:val="auto"/>
              <w:rPr>
                <w:rFonts w:hint="default"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1</w:t>
            </w:r>
          </w:p>
        </w:tc>
        <w:tc>
          <w:tcPr>
            <w:tcW w:w="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default"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大学本科（含同等学历）以上</w:t>
            </w:r>
          </w:p>
        </w:tc>
        <w:tc>
          <w:tcPr>
            <w:tcW w:w="12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spacing w:val="0"/>
                <w:kern w:val="2"/>
                <w:sz w:val="21"/>
                <w:szCs w:val="21"/>
                <w:lang w:val="en-US" w:eastAsia="zh-CN" w:bidi="ar-SA"/>
              </w:rPr>
              <w:t>不限（具有英语、经济管理、法律、企业管理等相关专业）</w:t>
            </w:r>
          </w:p>
        </w:tc>
        <w:tc>
          <w:tcPr>
            <w:tcW w:w="14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仿宋_GB2312" w:hAnsi="仿宋_GB2312" w:eastAsia="仿宋_GB2312" w:cs="仿宋_GB2312"/>
                <w:spacing w:val="0"/>
                <w:kern w:val="2"/>
                <w:sz w:val="21"/>
                <w:szCs w:val="21"/>
                <w:lang w:val="en-US" w:eastAsia="zh-CN" w:bidi="ar-SA"/>
              </w:rPr>
            </w:pPr>
            <w:r>
              <w:rPr>
                <w:rFonts w:hint="eastAsia" w:ascii="仿宋_GB2312" w:hAnsi="仿宋_GB2312" w:eastAsia="仿宋_GB2312" w:cs="仿宋_GB2312"/>
                <w:kern w:val="0"/>
                <w:sz w:val="21"/>
                <w:szCs w:val="21"/>
                <w:lang w:val="en-US" w:eastAsia="zh-CN" w:bidi="ar"/>
              </w:rPr>
              <w:t>由年度薪酬（基本年薪、绩效年薪）和任期激励两部分构成。根据《第四师国资委监管企业负责人经营业绩考核办法（试行）》《第四师国资委监管企业负责人薪酬管理办法（试行）》确定</w:t>
            </w:r>
          </w:p>
        </w:tc>
        <w:tc>
          <w:tcPr>
            <w:tcW w:w="3714"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rPr>
              <w:t>1.具有</w:t>
            </w:r>
            <w:r>
              <w:rPr>
                <w:rFonts w:hint="eastAsia" w:ascii="仿宋_GB2312" w:hAnsi="仿宋_GB2312" w:eastAsia="仿宋_GB2312" w:cs="仿宋_GB2312"/>
                <w:sz w:val="21"/>
                <w:szCs w:val="21"/>
                <w:lang w:val="en-US" w:eastAsia="zh-CN"/>
              </w:rPr>
              <w:t>工程师及以上</w:t>
            </w:r>
            <w:r>
              <w:rPr>
                <w:rFonts w:hint="eastAsia" w:ascii="仿宋_GB2312" w:hAnsi="仿宋_GB2312" w:eastAsia="仿宋_GB2312" w:cs="仿宋_GB2312"/>
                <w:sz w:val="21"/>
                <w:szCs w:val="21"/>
              </w:rPr>
              <w:t>相应</w:t>
            </w:r>
            <w:r>
              <w:rPr>
                <w:rFonts w:hint="eastAsia" w:ascii="仿宋_GB2312" w:hAnsi="仿宋_GB2312" w:eastAsia="仿宋_GB2312" w:cs="仿宋_GB2312"/>
                <w:sz w:val="21"/>
                <w:szCs w:val="21"/>
                <w:lang w:val="en-US" w:eastAsia="zh-CN"/>
              </w:rPr>
              <w:t>专业</w:t>
            </w:r>
            <w:r>
              <w:rPr>
                <w:rFonts w:hint="eastAsia" w:ascii="仿宋_GB2312" w:hAnsi="仿宋_GB2312" w:eastAsia="仿宋_GB2312" w:cs="仿宋_GB2312"/>
                <w:sz w:val="21"/>
                <w:szCs w:val="21"/>
              </w:rPr>
              <w:t>等级执（职）业</w:t>
            </w:r>
            <w:r>
              <w:rPr>
                <w:rFonts w:hint="eastAsia" w:ascii="仿宋_GB2312" w:hAnsi="仿宋_GB2312" w:eastAsia="仿宋_GB2312" w:cs="仿宋_GB2312"/>
                <w:sz w:val="21"/>
                <w:szCs w:val="21"/>
                <w:highlight w:val="none"/>
              </w:rPr>
              <w:t>资格证书</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lang w:val="en-US" w:eastAsia="zh-CN"/>
              </w:rPr>
              <w:t>高级职称优先考虑；</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具有国有企业高管</w:t>
            </w:r>
            <w:r>
              <w:rPr>
                <w:rFonts w:hint="eastAsia" w:ascii="仿宋_GB2312" w:hAnsi="仿宋_GB2312" w:eastAsia="仿宋_GB2312" w:cs="仿宋_GB2312"/>
                <w:color w:val="auto"/>
                <w:sz w:val="21"/>
                <w:szCs w:val="21"/>
                <w:highlight w:val="none"/>
                <w:lang w:val="en-US" w:eastAsia="zh-CN"/>
              </w:rPr>
              <w:t>3年以上（含3年）工作经历及国有企业中层管理岗位正</w:t>
            </w:r>
            <w:r>
              <w:rPr>
                <w:rFonts w:hint="eastAsia" w:ascii="仿宋_GB2312" w:hAnsi="仿宋_GB2312" w:eastAsia="仿宋_GB2312" w:cs="仿宋_GB2312"/>
                <w:sz w:val="21"/>
                <w:szCs w:val="21"/>
                <w:highlight w:val="none"/>
                <w:lang w:val="en-US" w:eastAsia="zh-CN"/>
              </w:rPr>
              <w:t>职5年或正副职累积8年以上任职经历者优先；现任机关、企事业单位处级干部、正科级3年以上任职经历者优先；</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3.熟悉企业生产经营方面的法规、政策和业务；</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4.</w:t>
            </w:r>
            <w:r>
              <w:rPr>
                <w:rFonts w:hint="eastAsia" w:ascii="仿宋_GB2312" w:hAnsi="仿宋_GB2312" w:eastAsia="仿宋_GB2312" w:cs="仿宋_GB2312"/>
                <w:spacing w:val="-6"/>
                <w:sz w:val="21"/>
                <w:szCs w:val="21"/>
                <w:highlight w:val="none"/>
              </w:rPr>
              <w:t>熟悉公司经营模式及管理体系</w:t>
            </w:r>
            <w:r>
              <w:rPr>
                <w:rFonts w:hint="eastAsia" w:ascii="仿宋_GB2312" w:hAnsi="仿宋_GB2312" w:eastAsia="仿宋_GB2312" w:cs="仿宋_GB2312"/>
                <w:spacing w:val="-6"/>
                <w:sz w:val="21"/>
                <w:szCs w:val="21"/>
                <w:highlight w:val="none"/>
                <w:lang w:eastAsia="zh-CN"/>
              </w:rPr>
              <w:t>；</w:t>
            </w:r>
          </w:p>
        </w:tc>
        <w:tc>
          <w:tcPr>
            <w:tcW w:w="4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1.贯彻落实国家和兵团、师市及上级部门有关安全生产、环保、消防工作方针的政策、法律法规、规程标准及重大决策部署；</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2.分管公司安全生产工作，全面落实一岗双责安全管理；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3.分管环保、消防工作，监督各单位环保技术改造、三废达标排放；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4.分管国资国企改革、公司国土资源、交通运输等有关工作；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5.组织或者参与拟订本单位安全生产、环保、消防规章制度、操作规程和生产安全事故应急救援预案；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7.组织开展危险源辨识和评估，督促落实本单位重大危险源的安全管理措施；组织或者参与本单位应急救援演练；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9.制止和纠正违章指挥、强令冒险作业、违反操作规程的行为，督促落实本单位安全生产整改措施。</w:t>
            </w:r>
          </w:p>
        </w:tc>
      </w:tr>
    </w:tbl>
    <w:p/>
    <w:sectPr>
      <w:pgSz w:w="16838" w:h="11906" w:orient="landscape"/>
      <w:pgMar w:top="1830" w:right="1440" w:bottom="891"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ZDFlNDViNGNjNjBlNzcxYWMyZDAyOTgzYzM2NzEifQ=="/>
  </w:docVars>
  <w:rsids>
    <w:rsidRoot w:val="5A6A6829"/>
    <w:rsid w:val="000C6184"/>
    <w:rsid w:val="03417D4F"/>
    <w:rsid w:val="04E20502"/>
    <w:rsid w:val="0894024D"/>
    <w:rsid w:val="09330727"/>
    <w:rsid w:val="09744D7F"/>
    <w:rsid w:val="10C70CB5"/>
    <w:rsid w:val="124341B4"/>
    <w:rsid w:val="124B181A"/>
    <w:rsid w:val="1274217C"/>
    <w:rsid w:val="15170874"/>
    <w:rsid w:val="15700B45"/>
    <w:rsid w:val="171C55BA"/>
    <w:rsid w:val="18D513DD"/>
    <w:rsid w:val="196C2587"/>
    <w:rsid w:val="1EC2381F"/>
    <w:rsid w:val="202E667E"/>
    <w:rsid w:val="29372F09"/>
    <w:rsid w:val="2A5444F1"/>
    <w:rsid w:val="2A9532F4"/>
    <w:rsid w:val="2ED27299"/>
    <w:rsid w:val="2FD5794D"/>
    <w:rsid w:val="30C12E61"/>
    <w:rsid w:val="327652BE"/>
    <w:rsid w:val="328131DE"/>
    <w:rsid w:val="32DA6A83"/>
    <w:rsid w:val="339B059F"/>
    <w:rsid w:val="35526B22"/>
    <w:rsid w:val="36834D75"/>
    <w:rsid w:val="3BC17244"/>
    <w:rsid w:val="3CC60EE0"/>
    <w:rsid w:val="4978420B"/>
    <w:rsid w:val="4B2B76AD"/>
    <w:rsid w:val="4C145D1A"/>
    <w:rsid w:val="4C880740"/>
    <w:rsid w:val="4D9D4E44"/>
    <w:rsid w:val="4E3B461E"/>
    <w:rsid w:val="4F402F8F"/>
    <w:rsid w:val="50CC5D38"/>
    <w:rsid w:val="5158382E"/>
    <w:rsid w:val="52E37C0C"/>
    <w:rsid w:val="544D3C63"/>
    <w:rsid w:val="561167B8"/>
    <w:rsid w:val="57761541"/>
    <w:rsid w:val="58BB3A23"/>
    <w:rsid w:val="59281A2D"/>
    <w:rsid w:val="599F7213"/>
    <w:rsid w:val="5A6A6829"/>
    <w:rsid w:val="5A8F7814"/>
    <w:rsid w:val="5AE17D66"/>
    <w:rsid w:val="5CE63D29"/>
    <w:rsid w:val="5D720E4F"/>
    <w:rsid w:val="5D7416A8"/>
    <w:rsid w:val="647B35E4"/>
    <w:rsid w:val="690340AD"/>
    <w:rsid w:val="6D6C3BF7"/>
    <w:rsid w:val="6DDA3FA8"/>
    <w:rsid w:val="6F685D02"/>
    <w:rsid w:val="728824D1"/>
    <w:rsid w:val="74D24748"/>
    <w:rsid w:val="780623D0"/>
    <w:rsid w:val="78802D0D"/>
    <w:rsid w:val="78F7000A"/>
    <w:rsid w:val="79134181"/>
    <w:rsid w:val="79F55850"/>
    <w:rsid w:val="7A8A4498"/>
    <w:rsid w:val="7BA201E9"/>
    <w:rsid w:val="7BEC2B6F"/>
    <w:rsid w:val="7ECB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ind w:firstLine="420" w:firstLineChars="200"/>
    </w:pPr>
  </w:style>
  <w:style w:type="paragraph" w:styleId="3">
    <w:name w:val="Body Text Indent"/>
    <w:basedOn w:val="1"/>
    <w:next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617</Words>
  <Characters>635</Characters>
  <Lines>0</Lines>
  <Paragraphs>0</Paragraphs>
  <TotalTime>0</TotalTime>
  <ScaleCrop>false</ScaleCrop>
  <LinksUpToDate>false</LinksUpToDate>
  <CharactersWithSpaces>635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2022-05-16T06:58:00Z</dcterms:created>
  <dc:creator>Administrator</dc:creator>
  <cp:lastModifiedBy>zhangzhonghua</cp:lastModifiedBy>
  <cp:lastPrinted>2022-07-19T02:03:00Z</cp:lastPrinted>
  <dcterms:modified xsi:type="dcterms:W3CDTF">2022-12-30T02:24:21Z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C3404C757FC94A2FB6237DF9EF0EF480</vt:lpwstr>
  </property>
</Properties>
</file>