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keepNext/>
        <w:keepLines/>
        <w:pageBreakBefore w:val="0"/>
        <w:widowControl w:val="0"/>
        <w:shd w:val="clear" w:color="auto" w:fill="auto"/>
        <w:kinsoku/>
        <w:wordWrap/>
        <w:overflowPunct/>
        <w:topLinePunct w:val="0"/>
        <w:autoSpaceDE/>
        <w:autoSpaceDN/>
        <w:bidi w:val="0"/>
        <w:adjustRightInd/>
        <w:snapToGrid/>
        <w:spacing w:before="0" w:after="320" w:line="560" w:lineRule="exact"/>
        <w:ind w:left="0" w:leftChars="0" w:right="0" w:firstLine="0" w:firstLineChars="0"/>
        <w:jc w:val="left"/>
        <w:textAlignment w:val="auto"/>
        <w:rPr>
          <w:rFonts w:hint="eastAsia" w:ascii="仿宋_GB2312" w:hAnsi="仿宋_GB2312" w:eastAsia="仿宋_GB2312" w:cs="仿宋_GB2312"/>
          <w:color w:val="000000"/>
          <w:spacing w:val="0"/>
          <w:w w:val="100"/>
          <w:position w:val="0"/>
          <w:sz w:val="32"/>
          <w:szCs w:val="32"/>
          <w:lang w:val="en-US" w:eastAsia="zh-CN"/>
        </w:rPr>
      </w:pPr>
      <w:bookmarkStart w:id="0" w:name="_GoBack"/>
      <w:bookmarkEnd w:id="0"/>
      <w:r>
        <w:rPr>
          <w:rFonts w:hint="eastAsia" w:ascii="仿宋_GB2312" w:hAnsi="仿宋_GB2312" w:eastAsia="仿宋_GB2312" w:cs="仿宋_GB2312"/>
          <w:color w:val="000000"/>
          <w:spacing w:val="0"/>
          <w:w w:val="100"/>
          <w:position w:val="0"/>
          <w:sz w:val="32"/>
          <w:szCs w:val="32"/>
          <w:lang w:eastAsia="zh-CN"/>
        </w:rPr>
        <w:t>附件</w:t>
      </w:r>
      <w:r>
        <w:rPr>
          <w:rFonts w:hint="eastAsia" w:ascii="仿宋_GB2312" w:hAnsi="仿宋_GB2312" w:eastAsia="仿宋_GB2312" w:cs="仿宋_GB2312"/>
          <w:color w:val="000000"/>
          <w:spacing w:val="0"/>
          <w:w w:val="100"/>
          <w:position w:val="0"/>
          <w:sz w:val="32"/>
          <w:szCs w:val="32"/>
          <w:lang w:val="en-US" w:eastAsia="zh-CN"/>
        </w:rPr>
        <w:t>2：</w:t>
      </w:r>
    </w:p>
    <w:p>
      <w:pPr>
        <w:pStyle w:val="12"/>
        <w:keepNext/>
        <w:keepLines/>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0" w:firstLineChars="0"/>
        <w:jc w:val="center"/>
        <w:textAlignment w:val="auto"/>
        <w:rPr>
          <w:rFonts w:hint="eastAsia" w:ascii="宋体" w:hAnsi="宋体" w:eastAsia="宋体" w:cs="宋体"/>
          <w:color w:val="000000"/>
          <w:spacing w:val="0"/>
          <w:w w:val="100"/>
          <w:position w:val="0"/>
          <w:sz w:val="36"/>
          <w:szCs w:val="36"/>
          <w:lang w:val="en-US" w:eastAsia="zh-CN"/>
        </w:rPr>
      </w:pPr>
      <w:r>
        <w:rPr>
          <w:rFonts w:hint="eastAsia" w:ascii="宋体" w:hAnsi="宋体" w:eastAsia="宋体" w:cs="宋体"/>
          <w:color w:val="000000"/>
          <w:spacing w:val="0"/>
          <w:w w:val="100"/>
          <w:position w:val="0"/>
          <w:sz w:val="36"/>
          <w:szCs w:val="36"/>
          <w:lang w:val="en-US" w:eastAsia="zh-CN"/>
        </w:rPr>
        <w:t>《事业单位公开招聘违纪违规行为处理规定》</w:t>
      </w:r>
    </w:p>
    <w:p>
      <w:pPr>
        <w:pStyle w:val="12"/>
        <w:keepNext/>
        <w:keepLines/>
        <w:pageBreakBefore w:val="0"/>
        <w:widowControl w:val="0"/>
        <w:shd w:val="clear" w:color="auto" w:fill="auto"/>
        <w:kinsoku/>
        <w:wordWrap/>
        <w:overflowPunct/>
        <w:topLinePunct w:val="0"/>
        <w:autoSpaceDE/>
        <w:autoSpaceDN/>
        <w:bidi w:val="0"/>
        <w:adjustRightInd/>
        <w:snapToGrid/>
        <w:spacing w:before="0" w:after="320" w:line="560" w:lineRule="exact"/>
        <w:ind w:left="0" w:leftChars="0" w:right="0" w:firstLine="0" w:firstLineChars="0"/>
        <w:jc w:val="center"/>
        <w:textAlignment w:val="auto"/>
        <w:rPr>
          <w:rFonts w:hint="eastAsia" w:ascii="楷体_GB2312" w:hAnsi="楷体_GB2312" w:eastAsia="楷体_GB2312" w:cs="楷体_GB2312"/>
          <w:b/>
          <w:bCs/>
          <w:color w:val="000000"/>
          <w:spacing w:val="0"/>
          <w:w w:val="100"/>
          <w:position w:val="0"/>
          <w:sz w:val="32"/>
          <w:szCs w:val="32"/>
          <w:lang w:val="en-US" w:eastAsia="zh-CN"/>
        </w:rPr>
      </w:pPr>
      <w:r>
        <w:rPr>
          <w:rFonts w:hint="eastAsia" w:ascii="楷体_GB2312" w:hAnsi="楷体_GB2312" w:eastAsia="楷体_GB2312" w:cs="楷体_GB2312"/>
          <w:b/>
          <w:bCs/>
          <w:color w:val="000000"/>
          <w:spacing w:val="0"/>
          <w:w w:val="100"/>
          <w:position w:val="0"/>
          <w:sz w:val="32"/>
          <w:szCs w:val="32"/>
          <w:lang w:val="en-US" w:eastAsia="zh-CN"/>
        </w:rPr>
        <w:t>(人社部令35号)</w:t>
      </w:r>
    </w:p>
    <w:p>
      <w:pPr>
        <w:pStyle w:val="12"/>
        <w:keepNext/>
        <w:keepLines/>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0" w:firstLineChars="0"/>
        <w:jc w:val="center"/>
        <w:textAlignment w:val="auto"/>
        <w:rPr>
          <w:rFonts w:hint="eastAsia" w:ascii="黑体" w:hAnsi="黑体" w:eastAsia="黑体" w:cs="黑体"/>
          <w:color w:val="000000"/>
          <w:spacing w:val="0"/>
          <w:w w:val="100"/>
          <w:position w:val="0"/>
          <w:sz w:val="32"/>
          <w:szCs w:val="32"/>
          <w:lang w:val="en-US" w:eastAsia="zh-CN"/>
        </w:rPr>
      </w:pPr>
      <w:r>
        <w:rPr>
          <w:rFonts w:hint="eastAsia" w:ascii="黑体" w:hAnsi="黑体" w:eastAsia="黑体" w:cs="黑体"/>
          <w:color w:val="000000"/>
          <w:spacing w:val="0"/>
          <w:w w:val="100"/>
          <w:position w:val="0"/>
          <w:sz w:val="32"/>
          <w:szCs w:val="32"/>
          <w:lang w:val="en-US" w:eastAsia="zh-CN"/>
        </w:rPr>
        <w:t>第一章  总  则</w:t>
      </w:r>
    </w:p>
    <w:p>
      <w:pPr>
        <w:pStyle w:val="12"/>
        <w:keepNext/>
        <w:keepLines/>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第一条 为加强事业单位公开招聘工作管理，规范公开招聘违纪违规行为的认定与处理，保证招聘工作公开、公平、公正，根据《事业单位人事管理条例》等有关规定，制定本规定。</w:t>
      </w:r>
    </w:p>
    <w:p>
      <w:pPr>
        <w:pStyle w:val="12"/>
        <w:keepNext/>
        <w:keepLines/>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第二条 事业单位公开招聘中违纪违规行为的认定与处理，适用本规定。</w:t>
      </w:r>
    </w:p>
    <w:p>
      <w:pPr>
        <w:pStyle w:val="12"/>
        <w:keepNext/>
        <w:keepLines/>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第三条 认定与处理公开招聘违纪违规行为，应当事实清楚、证据确凿、程序规范、适用规定准确。</w:t>
      </w:r>
    </w:p>
    <w:p>
      <w:pPr>
        <w:pStyle w:val="12"/>
        <w:keepNext/>
        <w:keepLines/>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第四条 中央事业单位人事综合管理部门负责全国事业单位公开招聘工作的综合管理与监督。</w:t>
      </w:r>
    </w:p>
    <w:p>
      <w:pPr>
        <w:pStyle w:val="12"/>
        <w:keepNext/>
        <w:keepLines/>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各级事业单位人事综合管理部门、事业单位主管部门、招聘单位按照事业单位公开招聘管理权限，依据本规定对公开招聘违纪违规行为进行认定与处理。</w:t>
      </w:r>
    </w:p>
    <w:p>
      <w:pPr>
        <w:pStyle w:val="12"/>
        <w:keepNext/>
        <w:keepLines/>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0" w:firstLineChars="0"/>
        <w:jc w:val="center"/>
        <w:textAlignment w:val="auto"/>
        <w:rPr>
          <w:rFonts w:hint="eastAsia" w:ascii="黑体" w:hAnsi="黑体" w:eastAsia="黑体" w:cs="黑体"/>
          <w:color w:val="000000"/>
          <w:spacing w:val="0"/>
          <w:w w:val="100"/>
          <w:position w:val="0"/>
          <w:sz w:val="32"/>
          <w:szCs w:val="32"/>
          <w:lang w:val="en-US" w:eastAsia="zh-CN"/>
        </w:rPr>
      </w:pPr>
      <w:r>
        <w:rPr>
          <w:rFonts w:hint="eastAsia" w:ascii="黑体" w:hAnsi="黑体" w:eastAsia="黑体" w:cs="黑体"/>
          <w:color w:val="000000"/>
          <w:spacing w:val="0"/>
          <w:w w:val="100"/>
          <w:position w:val="0"/>
          <w:sz w:val="32"/>
          <w:szCs w:val="32"/>
          <w:lang w:val="en-US" w:eastAsia="zh-CN"/>
        </w:rPr>
        <w:t>第二章  应聘人员违纪违规行为处理</w:t>
      </w:r>
    </w:p>
    <w:p>
      <w:pPr>
        <w:pStyle w:val="12"/>
        <w:keepNext/>
        <w:keepLines/>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第五条 应聘人员在报名过程中有下列违纪违规行为之一的，取消其本次应聘资格：</w:t>
      </w:r>
    </w:p>
    <w:p>
      <w:pPr>
        <w:pStyle w:val="12"/>
        <w:keepNext/>
        <w:keepLines/>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（一）伪造、涂改证件、证明等报名材料，或者以其他不正当手段获取应聘资格的；</w:t>
      </w:r>
    </w:p>
    <w:p>
      <w:pPr>
        <w:pStyle w:val="12"/>
        <w:keepNext/>
        <w:keepLines/>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（二）提供的涉及报考资格的申请材料或者信息不实，且影响报名审核结果的；</w:t>
      </w:r>
    </w:p>
    <w:p>
      <w:pPr>
        <w:pStyle w:val="12"/>
        <w:keepNext/>
        <w:keepLines/>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（三）其他应当取消其本次应聘资格的违纪违规行为。</w:t>
      </w:r>
    </w:p>
    <w:p>
      <w:pPr>
        <w:pStyle w:val="12"/>
        <w:keepNext/>
        <w:keepLines/>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第六条 应聘人员在考试过程中有下列违纪违规行为之一的，给予其当次该科目考试成绩无效的处理：</w:t>
      </w:r>
    </w:p>
    <w:p>
      <w:pPr>
        <w:pStyle w:val="12"/>
        <w:keepNext/>
        <w:keepLines/>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（一）携带规定以外的物品进入考场且未按要求放在指定位置，经提醒仍不改正的；</w:t>
      </w:r>
    </w:p>
    <w:p>
      <w:pPr>
        <w:pStyle w:val="12"/>
        <w:keepNext/>
        <w:keepLines/>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（二）未在规定座位参加考试，或者未经考试工作人员允许擅自离开座位或者考场，经提醒仍不改正的；</w:t>
      </w:r>
    </w:p>
    <w:p>
      <w:pPr>
        <w:pStyle w:val="12"/>
        <w:keepNext/>
        <w:keepLines/>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（三）经提醒仍不按规定填写、填涂本人信息的；</w:t>
      </w:r>
    </w:p>
    <w:p>
      <w:pPr>
        <w:pStyle w:val="12"/>
        <w:keepNext/>
        <w:keepLines/>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（四）在试卷、答题纸、答题卡规定以外位置标注本人信息或者其他特殊标记的；</w:t>
      </w:r>
    </w:p>
    <w:p>
      <w:pPr>
        <w:pStyle w:val="12"/>
        <w:keepNext/>
        <w:keepLines/>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（五）在考试开始信号发出前答题，或者在考试结束信号发出后继续答题，经提醒仍不停止的；</w:t>
      </w:r>
    </w:p>
    <w:p>
      <w:pPr>
        <w:pStyle w:val="12"/>
        <w:keepNext/>
        <w:keepLines/>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（六）将试卷、答题卡、答题纸带出考场，或者故意损坏试卷、答题卡、答题纸及考试相关设施设备的；</w:t>
      </w:r>
    </w:p>
    <w:p>
      <w:pPr>
        <w:pStyle w:val="12"/>
        <w:keepNext/>
        <w:keepLines/>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（七）其他应当给予当次该科目考试成绩无效处理的违纪违规行为。</w:t>
      </w:r>
    </w:p>
    <w:p>
      <w:pPr>
        <w:pStyle w:val="12"/>
        <w:keepNext/>
        <w:keepLines/>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第七条 应聘人员在考试过程中有下列严重违纪违规行为之一的，给予其当次全部科目考试成绩无效的处理，并将其违纪违规行为记入事业单位公开招聘应聘人员诚信档案库，记录期限为五年：</w:t>
      </w:r>
    </w:p>
    <w:p>
      <w:pPr>
        <w:pStyle w:val="12"/>
        <w:keepNext/>
        <w:keepLines/>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（一）抄袭、协助他人抄袭的；</w:t>
      </w:r>
    </w:p>
    <w:p>
      <w:pPr>
        <w:pStyle w:val="12"/>
        <w:keepNext/>
        <w:keepLines/>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（二）互相传递试卷、答题纸、答题卡、草稿纸等的；</w:t>
      </w:r>
    </w:p>
    <w:p>
      <w:pPr>
        <w:pStyle w:val="12"/>
        <w:keepNext/>
        <w:keepLines/>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（三）持伪造证件参加考试的；</w:t>
      </w:r>
    </w:p>
    <w:p>
      <w:pPr>
        <w:pStyle w:val="12"/>
        <w:keepNext/>
        <w:keepLines/>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（四）使用禁止带入考场的通讯工具、规定以外的电子用品的；</w:t>
      </w:r>
    </w:p>
    <w:p>
      <w:pPr>
        <w:pStyle w:val="12"/>
        <w:keepNext/>
        <w:keepLines/>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（五）本人离开考场后，在本场考试结束前，传播考试试题及答案的；</w:t>
      </w:r>
    </w:p>
    <w:p>
      <w:pPr>
        <w:pStyle w:val="12"/>
        <w:keepNext/>
        <w:keepLines/>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（六）其他应当给予当次全部科目考试成绩无效处理并记入事业单位公开招聘应聘人员诚信档案库的严重违纪违规行为。</w:t>
      </w:r>
    </w:p>
    <w:p>
      <w:pPr>
        <w:pStyle w:val="12"/>
        <w:keepNext/>
        <w:keepLines/>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第八条 应聘人员有下列特别严重违纪违规行为之一的，给予其当次全部科目考试成绩无效的处理，并将其违纪违规行为记入事业单位公开招聘应聘人员诚信档案库，长期记录：</w:t>
      </w:r>
    </w:p>
    <w:p>
      <w:pPr>
        <w:pStyle w:val="12"/>
        <w:keepNext/>
        <w:keepLines/>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（一）串通作弊或者参与有组织作弊的；</w:t>
      </w:r>
    </w:p>
    <w:p>
      <w:pPr>
        <w:pStyle w:val="12"/>
        <w:keepNext/>
        <w:keepLines/>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（二）代替他人或者让他人代替自己参加考试的；</w:t>
      </w:r>
    </w:p>
    <w:p>
      <w:pPr>
        <w:pStyle w:val="12"/>
        <w:keepNext/>
        <w:keepLines/>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（三）其他应当给予当次全部科目考试成绩无效处理并记入事业单位公开招聘应聘人员诚信档案库的特别严重的违纪违规行为。</w:t>
      </w:r>
    </w:p>
    <w:p>
      <w:pPr>
        <w:pStyle w:val="12"/>
        <w:keepNext/>
        <w:keepLines/>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pStyle w:val="12"/>
        <w:keepNext/>
        <w:keepLines/>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（一）故意扰乱考点、考场以及其他招聘工作场所秩序的；</w:t>
      </w:r>
    </w:p>
    <w:p>
      <w:pPr>
        <w:pStyle w:val="12"/>
        <w:keepNext/>
        <w:keepLines/>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（二）拒绝、妨碍工作人员履行管理职责的；</w:t>
      </w:r>
    </w:p>
    <w:p>
      <w:pPr>
        <w:pStyle w:val="12"/>
        <w:keepNext/>
        <w:keepLines/>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（三）威胁、侮辱、诽谤、诬陷工作人员或者其他应聘人员的；</w:t>
      </w:r>
    </w:p>
    <w:p>
      <w:pPr>
        <w:pStyle w:val="12"/>
        <w:keepNext/>
        <w:keepLines/>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（四）其他扰乱招聘工作秩序的违纪违规行为。</w:t>
      </w:r>
    </w:p>
    <w:p>
      <w:pPr>
        <w:pStyle w:val="12"/>
        <w:keepNext/>
        <w:keepLines/>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第十条 在阅卷过程中发现应聘人员之间同一科目作答内容雷同，并经阅卷专家组确认的，给予其当次该科目考试成绩无效的处理。作答内容雷同的具体认定方法和标准，由中央事业单位人事综合管理部门确定。</w:t>
      </w:r>
    </w:p>
    <w:p>
      <w:pPr>
        <w:pStyle w:val="12"/>
        <w:keepNext/>
        <w:keepLines/>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应聘人员之间同一科目作答内容雷同，并有其他相关证据证明其违纪违规行为成立的，视具体情形按照本规定第七条、第八条处理。</w:t>
      </w:r>
    </w:p>
    <w:p>
      <w:pPr>
        <w:pStyle w:val="12"/>
        <w:keepNext/>
        <w:keepLines/>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pStyle w:val="12"/>
        <w:keepNext/>
        <w:keepLines/>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pStyle w:val="12"/>
        <w:keepNext/>
        <w:keepLines/>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第十三条 应聘人员聘用后被查明有本规定所列违纪违规行为的，由招聘单位与其解除聘用合同、予以清退，其中符合第七条、第八条、第十一条、第十二条违纪违规行为的，记入事业单位公开招聘应聘人员诚信档案库。</w:t>
      </w:r>
    </w:p>
    <w:p>
      <w:pPr>
        <w:pStyle w:val="12"/>
        <w:keepNext/>
        <w:keepLines/>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pStyle w:val="12"/>
        <w:keepNext/>
        <w:keepLines/>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0" w:firstLineChars="0"/>
        <w:jc w:val="center"/>
        <w:textAlignment w:val="auto"/>
        <w:rPr>
          <w:rFonts w:hint="eastAsia" w:ascii="黑体" w:hAnsi="黑体" w:eastAsia="黑体" w:cs="黑体"/>
          <w:color w:val="000000"/>
          <w:spacing w:val="0"/>
          <w:w w:val="100"/>
          <w:position w:val="0"/>
          <w:sz w:val="32"/>
          <w:szCs w:val="32"/>
          <w:lang w:val="en-US" w:eastAsia="zh-CN"/>
        </w:rPr>
      </w:pPr>
      <w:r>
        <w:rPr>
          <w:rFonts w:hint="eastAsia" w:ascii="黑体" w:hAnsi="黑体" w:eastAsia="黑体" w:cs="黑体"/>
          <w:color w:val="000000"/>
          <w:spacing w:val="0"/>
          <w:w w:val="100"/>
          <w:position w:val="0"/>
          <w:sz w:val="32"/>
          <w:szCs w:val="32"/>
          <w:lang w:val="en-US" w:eastAsia="zh-CN"/>
        </w:rPr>
        <w:t>第三章 招聘单位和招聘工作人员违纪违规行为处理</w:t>
      </w:r>
    </w:p>
    <w:p>
      <w:pPr>
        <w:pStyle w:val="12"/>
        <w:keepNext/>
        <w:keepLines/>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第十五条 招聘单位在公开招聘中有下列行为之一的，事业单位主管部门或者事业单位人事综合管理部门应当责令限期改正；逾期不改正的，对直接负责的主管人员和其他直接责任人员依法给予处分：</w:t>
      </w:r>
    </w:p>
    <w:p>
      <w:pPr>
        <w:pStyle w:val="12"/>
        <w:keepNext/>
        <w:keepLines/>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（一）未按规定权限和程序核准(备案)招聘方案，擅自组织公开招聘的；</w:t>
      </w:r>
    </w:p>
    <w:p>
      <w:pPr>
        <w:pStyle w:val="12"/>
        <w:keepNext/>
        <w:keepLines/>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（二）设置与岗位无关的指向性或者限制性条件的；</w:t>
      </w:r>
    </w:p>
    <w:p>
      <w:pPr>
        <w:pStyle w:val="12"/>
        <w:keepNext/>
        <w:keepLines/>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（三）未按规定发布招聘公告的；</w:t>
      </w:r>
    </w:p>
    <w:p>
      <w:pPr>
        <w:pStyle w:val="12"/>
        <w:keepNext/>
        <w:keepLines/>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（四）招聘公告发布后，擅自变更招聘程序、岗位条件、招聘人数、考试考察方式等的；</w:t>
      </w:r>
    </w:p>
    <w:p>
      <w:pPr>
        <w:pStyle w:val="12"/>
        <w:keepNext/>
        <w:keepLines/>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（五）未按招聘条件进行资格审查的；</w:t>
      </w:r>
    </w:p>
    <w:p>
      <w:pPr>
        <w:pStyle w:val="12"/>
        <w:keepNext/>
        <w:keepLines/>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（六）未按规定组织体检的；</w:t>
      </w:r>
    </w:p>
    <w:p>
      <w:pPr>
        <w:pStyle w:val="12"/>
        <w:keepNext/>
        <w:keepLines/>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（七）未按规定公示拟聘用人员名单的；</w:t>
      </w:r>
    </w:p>
    <w:p>
      <w:pPr>
        <w:pStyle w:val="12"/>
        <w:keepNext/>
        <w:keepLines/>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(八)其他应当责令改正的违纪违规行为。</w:t>
      </w:r>
    </w:p>
    <w:p>
      <w:pPr>
        <w:pStyle w:val="12"/>
        <w:keepNext/>
        <w:keepLines/>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第十六条 招聘工作人员有下列行为之一的，由相关部门给予处分，并停止其继续参加当年及下一年度招聘工作：</w:t>
      </w:r>
    </w:p>
    <w:p>
      <w:pPr>
        <w:pStyle w:val="12"/>
        <w:keepNext/>
        <w:keepLines/>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（一）擅自提前考试开始时间、推迟考试结束时间及缩短考试时间的；</w:t>
      </w:r>
    </w:p>
    <w:p>
      <w:pPr>
        <w:pStyle w:val="12"/>
        <w:keepNext/>
        <w:keepLines/>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（二）擅自为应聘人员调换考场或者座位的；</w:t>
      </w:r>
    </w:p>
    <w:p>
      <w:pPr>
        <w:pStyle w:val="12"/>
        <w:keepNext/>
        <w:keepLines/>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（三）未准确记录考场情况及违纪违规行为，并造成一定影响的；</w:t>
      </w:r>
    </w:p>
    <w:p>
      <w:pPr>
        <w:pStyle w:val="12"/>
        <w:keepNext/>
        <w:keepLines/>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（四）未执行回避制度的；</w:t>
      </w:r>
    </w:p>
    <w:p>
      <w:pPr>
        <w:pStyle w:val="12"/>
        <w:keepNext/>
        <w:keepLines/>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（五）其他一般违纪违规行为。</w:t>
      </w:r>
    </w:p>
    <w:p>
      <w:pPr>
        <w:pStyle w:val="12"/>
        <w:keepNext/>
        <w:keepLines/>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第十七条 招聘工作人员有下列行为之一的，由相关部门给予处分，并将其调离招聘工作岗位，不得再从事招聘工作；构成犯罪的，依法追究刑事责任：</w:t>
      </w:r>
    </w:p>
    <w:p>
      <w:pPr>
        <w:pStyle w:val="12"/>
        <w:keepNext/>
        <w:keepLines/>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（一）指使、纵容他人作弊，或者在考试、考察、体检过程中参与作弊的；</w:t>
      </w:r>
    </w:p>
    <w:p>
      <w:pPr>
        <w:pStyle w:val="12"/>
        <w:keepNext/>
        <w:keepLines/>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（二）在保密期限内，泄露考试试题、面试评分要素等应当保密的信息的；</w:t>
      </w:r>
    </w:p>
    <w:p>
      <w:pPr>
        <w:pStyle w:val="12"/>
        <w:keepNext/>
        <w:keepLines/>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（三）擅自更改考试评分标准或者不按评分标准进行评卷的；</w:t>
      </w:r>
    </w:p>
    <w:p>
      <w:pPr>
        <w:pStyle w:val="12"/>
        <w:keepNext/>
        <w:keepLines/>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（四）监管不严，导致考场出现大面积作弊现象的；</w:t>
      </w:r>
    </w:p>
    <w:p>
      <w:pPr>
        <w:pStyle w:val="12"/>
        <w:keepNext/>
        <w:keepLines/>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（五）玩忽职守，造成不良影响的；</w:t>
      </w:r>
    </w:p>
    <w:p>
      <w:pPr>
        <w:pStyle w:val="12"/>
        <w:keepNext/>
        <w:keepLines/>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（六）其他严重违纪违规行为。</w:t>
      </w:r>
    </w:p>
    <w:p>
      <w:pPr>
        <w:pStyle w:val="12"/>
        <w:keepNext/>
        <w:keepLines/>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第十八条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w:t>
      </w:r>
    </w:p>
    <w:p>
      <w:pPr>
        <w:pStyle w:val="12"/>
        <w:keepNext/>
        <w:keepLines/>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第十九条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pStyle w:val="12"/>
        <w:keepNext/>
        <w:keepLines/>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对应聘人员违纪违规行为作出处理决定的，应当制作公开招聘违纪违规行为处理决定书，依法送达被处理的应聘人员。</w:t>
      </w:r>
    </w:p>
    <w:p>
      <w:pPr>
        <w:pStyle w:val="12"/>
        <w:keepNext/>
        <w:keepLines/>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第二十条 应聘人员对处理决定不服的，可以依法申请行政复议或者提起行政诉讼。</w:t>
      </w:r>
    </w:p>
    <w:p>
      <w:pPr>
        <w:pStyle w:val="12"/>
        <w:keepNext/>
        <w:keepLines/>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第二十一条 参与公开招聘的工作人员对因违纪违规行为受到处分不服的，可以依法申请复核或者提出申诉。</w:t>
      </w:r>
    </w:p>
    <w:p>
      <w:pPr>
        <w:pStyle w:val="12"/>
        <w:keepNext/>
        <w:keepLines/>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0" w:firstLineChars="0"/>
        <w:jc w:val="center"/>
        <w:textAlignment w:val="auto"/>
        <w:rPr>
          <w:rFonts w:hint="eastAsia" w:ascii="黑体" w:hAnsi="黑体" w:eastAsia="黑体" w:cs="黑体"/>
          <w:color w:val="000000"/>
          <w:spacing w:val="0"/>
          <w:w w:val="100"/>
          <w:position w:val="0"/>
          <w:sz w:val="32"/>
          <w:szCs w:val="32"/>
          <w:lang w:val="en-US" w:eastAsia="zh-CN"/>
        </w:rPr>
      </w:pPr>
      <w:r>
        <w:rPr>
          <w:rFonts w:hint="eastAsia" w:ascii="黑体" w:hAnsi="黑体" w:eastAsia="黑体" w:cs="黑体"/>
          <w:color w:val="000000"/>
          <w:spacing w:val="0"/>
          <w:w w:val="100"/>
          <w:position w:val="0"/>
          <w:sz w:val="32"/>
          <w:szCs w:val="32"/>
          <w:lang w:val="en-US" w:eastAsia="zh-CN"/>
        </w:rPr>
        <w:t>第五章 附则</w:t>
      </w:r>
    </w:p>
    <w:p>
      <w:pPr>
        <w:pStyle w:val="12"/>
        <w:keepNext/>
        <w:keepLines/>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第二十二条 本规定自2018年1月1日起施行。</w:t>
      </w:r>
    </w:p>
    <w:p>
      <w:pPr>
        <w:pStyle w:val="12"/>
        <w:keepNext/>
        <w:keepLines/>
        <w:pageBreakBefore w:val="0"/>
        <w:widowControl w:val="0"/>
        <w:shd w:val="clear" w:color="auto" w:fill="auto"/>
        <w:kinsoku/>
        <w:wordWrap/>
        <w:overflowPunct/>
        <w:topLinePunct w:val="0"/>
        <w:autoSpaceDE/>
        <w:autoSpaceDN/>
        <w:bidi w:val="0"/>
        <w:adjustRightInd/>
        <w:snapToGrid/>
        <w:spacing w:before="0" w:after="320" w:line="560" w:lineRule="exact"/>
        <w:ind w:left="0" w:leftChars="0" w:right="0" w:firstLine="0" w:firstLineChars="0"/>
        <w:jc w:val="left"/>
        <w:textAlignment w:val="auto"/>
        <w:rPr>
          <w:rFonts w:hint="eastAsia" w:ascii="仿宋_GB2312" w:hAnsi="仿宋_GB2312" w:eastAsia="仿宋_GB2312" w:cs="仿宋_GB2312"/>
          <w:color w:val="000000"/>
          <w:spacing w:val="0"/>
          <w:w w:val="100"/>
          <w:position w:val="0"/>
          <w:sz w:val="32"/>
          <w:szCs w:val="32"/>
          <w:lang w:val="en-US" w:eastAsia="zh-CN"/>
        </w:rPr>
      </w:pPr>
    </w:p>
    <w:sectPr>
      <w:footerReference r:id="rId3" w:type="default"/>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NiNDUwMjczYjRkMjE5NmQ3OGVlZjgxMmE2ZjhjZTMifQ=="/>
    <w:docVar w:name="KSO_WPS_MARK_KEY" w:val="2468badf-652c-4028-8fc4-166ab4043559"/>
  </w:docVars>
  <w:rsids>
    <w:rsidRoot w:val="0BB55289"/>
    <w:rsid w:val="000016C3"/>
    <w:rsid w:val="007C3767"/>
    <w:rsid w:val="0722440D"/>
    <w:rsid w:val="08B41BE3"/>
    <w:rsid w:val="092C5111"/>
    <w:rsid w:val="0BB55289"/>
    <w:rsid w:val="105342AB"/>
    <w:rsid w:val="12332F23"/>
    <w:rsid w:val="13535731"/>
    <w:rsid w:val="15535487"/>
    <w:rsid w:val="1C4F53BB"/>
    <w:rsid w:val="1CC91AD3"/>
    <w:rsid w:val="206A09C9"/>
    <w:rsid w:val="29F23A2E"/>
    <w:rsid w:val="2BC2152F"/>
    <w:rsid w:val="2C913D5C"/>
    <w:rsid w:val="2D8220FC"/>
    <w:rsid w:val="2DB77DE4"/>
    <w:rsid w:val="2E35674F"/>
    <w:rsid w:val="301A1420"/>
    <w:rsid w:val="311867A7"/>
    <w:rsid w:val="324F27DC"/>
    <w:rsid w:val="3B342DB3"/>
    <w:rsid w:val="3C266F1B"/>
    <w:rsid w:val="43236A0A"/>
    <w:rsid w:val="49030FC3"/>
    <w:rsid w:val="4A8847C7"/>
    <w:rsid w:val="4AA23F7F"/>
    <w:rsid w:val="4BA5623B"/>
    <w:rsid w:val="4BE72E02"/>
    <w:rsid w:val="52354910"/>
    <w:rsid w:val="525A57AE"/>
    <w:rsid w:val="52C45266"/>
    <w:rsid w:val="530E3233"/>
    <w:rsid w:val="55AF28C5"/>
    <w:rsid w:val="561532FB"/>
    <w:rsid w:val="591404FF"/>
    <w:rsid w:val="59C82D29"/>
    <w:rsid w:val="64B82FFF"/>
    <w:rsid w:val="64C11C12"/>
    <w:rsid w:val="6726289F"/>
    <w:rsid w:val="67DA37DE"/>
    <w:rsid w:val="697F5A34"/>
    <w:rsid w:val="6B6F7E0B"/>
    <w:rsid w:val="6D4E1B0B"/>
    <w:rsid w:val="6E5B2C4D"/>
    <w:rsid w:val="6EB26D11"/>
    <w:rsid w:val="6F981858"/>
    <w:rsid w:val="78BF3E1E"/>
    <w:rsid w:val="7F967A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Autospacing="0"/>
    </w:pPr>
    <w:rPr>
      <w:rFonts w:ascii="Calibri" w:hAnsi="Calibri" w:eastAsia="宋体" w:cs="Times New Roman"/>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8">
    <w:name w:val="FollowedHyperlink"/>
    <w:basedOn w:val="7"/>
    <w:qFormat/>
    <w:uiPriority w:val="0"/>
    <w:rPr>
      <w:color w:val="800080"/>
      <w:u w:val="none"/>
    </w:rPr>
  </w:style>
  <w:style w:type="character" w:styleId="9">
    <w:name w:val="Emphasis"/>
    <w:basedOn w:val="7"/>
    <w:qFormat/>
    <w:uiPriority w:val="0"/>
  </w:style>
  <w:style w:type="character" w:styleId="10">
    <w:name w:val="Hyperlink"/>
    <w:basedOn w:val="7"/>
    <w:qFormat/>
    <w:uiPriority w:val="0"/>
    <w:rPr>
      <w:color w:val="0000FF"/>
      <w:u w:val="none"/>
    </w:rPr>
  </w:style>
  <w:style w:type="character" w:customStyle="1" w:styleId="11">
    <w:name w:val="disabled"/>
    <w:basedOn w:val="7"/>
    <w:qFormat/>
    <w:uiPriority w:val="0"/>
    <w:rPr>
      <w:vanish/>
    </w:rPr>
  </w:style>
  <w:style w:type="paragraph" w:customStyle="1" w:styleId="12">
    <w:name w:val="Heading #1|1"/>
    <w:basedOn w:val="1"/>
    <w:qFormat/>
    <w:uiPriority w:val="0"/>
    <w:pPr>
      <w:widowControl w:val="0"/>
      <w:shd w:val="clear" w:color="auto" w:fill="auto"/>
      <w:spacing w:after="200"/>
      <w:ind w:left="530"/>
      <w:jc w:val="center"/>
      <w:outlineLvl w:val="0"/>
    </w:pPr>
    <w:rPr>
      <w:rFonts w:ascii="宋体" w:hAnsi="宋体" w:eastAsia="宋体" w:cs="宋体"/>
      <w:sz w:val="40"/>
      <w:szCs w:val="40"/>
      <w:u w:val="none"/>
      <w:shd w:val="clear" w:color="auto" w:fill="auto"/>
      <w:lang w:val="zh-TW" w:eastAsia="zh-TW" w:bidi="zh-TW"/>
    </w:rPr>
  </w:style>
  <w:style w:type="paragraph" w:customStyle="1" w:styleId="13">
    <w:name w:val="Body text|2"/>
    <w:basedOn w:val="1"/>
    <w:qFormat/>
    <w:uiPriority w:val="0"/>
    <w:pPr>
      <w:widowControl w:val="0"/>
      <w:shd w:val="clear" w:color="auto" w:fill="auto"/>
      <w:spacing w:after="2580" w:line="592" w:lineRule="exact"/>
      <w:ind w:left="260" w:firstLine="600"/>
    </w:pPr>
    <w:rPr>
      <w:rFonts w:ascii="宋体" w:hAnsi="宋体" w:eastAsia="宋体" w:cs="宋体"/>
      <w:sz w:val="30"/>
      <w:szCs w:val="30"/>
      <w:u w:val="none"/>
      <w:shd w:val="clear" w:color="auto" w:fill="auto"/>
      <w:lang w:val="zh-TW" w:eastAsia="zh-TW" w:bidi="zh-TW"/>
    </w:rPr>
  </w:style>
  <w:style w:type="paragraph" w:customStyle="1" w:styleId="14">
    <w:name w:val="Heading #2|1"/>
    <w:basedOn w:val="1"/>
    <w:qFormat/>
    <w:uiPriority w:val="0"/>
    <w:pPr>
      <w:widowControl w:val="0"/>
      <w:shd w:val="clear" w:color="auto" w:fill="auto"/>
      <w:spacing w:after="490" w:line="329" w:lineRule="auto"/>
      <w:ind w:firstLine="440"/>
      <w:outlineLvl w:val="1"/>
    </w:pPr>
    <w:rPr>
      <w:rFonts w:ascii="宋体" w:hAnsi="宋体" w:eastAsia="宋体" w:cs="宋体"/>
      <w:sz w:val="30"/>
      <w:szCs w:val="30"/>
      <w:u w:val="none"/>
      <w:shd w:val="clear" w:color="auto" w:fill="auto"/>
      <w:lang w:val="zh-TW" w:eastAsia="zh-TW" w:bidi="zh-TW"/>
    </w:rPr>
  </w:style>
  <w:style w:type="paragraph" w:customStyle="1" w:styleId="15">
    <w:name w:val="Other|1"/>
    <w:basedOn w:val="1"/>
    <w:qFormat/>
    <w:uiPriority w:val="0"/>
    <w:pPr>
      <w:widowControl w:val="0"/>
      <w:shd w:val="clear" w:color="auto" w:fill="auto"/>
    </w:pPr>
    <w:rPr>
      <w:rFonts w:ascii="宋体" w:hAnsi="宋体" w:eastAsia="宋体" w:cs="宋体"/>
      <w:sz w:val="22"/>
      <w:szCs w:val="22"/>
      <w:u w:val="none"/>
      <w:shd w:val="clear" w:color="auto" w:fill="auto"/>
      <w:lang w:val="zh-TW" w:eastAsia="zh-TW" w:bidi="zh-TW"/>
    </w:rPr>
  </w:style>
  <w:style w:type="paragraph" w:customStyle="1" w:styleId="16">
    <w:name w:val="Body text|1"/>
    <w:basedOn w:val="1"/>
    <w:qFormat/>
    <w:uiPriority w:val="0"/>
    <w:pPr>
      <w:widowControl w:val="0"/>
      <w:shd w:val="clear" w:color="auto" w:fill="auto"/>
      <w:spacing w:after="260"/>
    </w:pPr>
    <w:rPr>
      <w:rFonts w:ascii="宋体" w:hAnsi="宋体" w:eastAsia="宋体" w:cs="宋体"/>
      <w:sz w:val="17"/>
      <w:szCs w:val="17"/>
      <w:u w:val="none"/>
      <w:shd w:val="clear" w:color="auto" w:fill="auto"/>
      <w:lang w:val="zh-TW" w:eastAsia="zh-TW" w:bidi="zh-TW"/>
    </w:rPr>
  </w:style>
  <w:style w:type="paragraph" w:customStyle="1" w:styleId="17">
    <w:name w:val="Body text|3"/>
    <w:basedOn w:val="1"/>
    <w:qFormat/>
    <w:uiPriority w:val="0"/>
    <w:pPr>
      <w:widowControl w:val="0"/>
      <w:shd w:val="clear" w:color="auto" w:fill="auto"/>
      <w:spacing w:after="240" w:line="77" w:lineRule="exact"/>
      <w:ind w:firstLine="560"/>
    </w:pPr>
    <w:rPr>
      <w:i/>
      <w:iCs/>
      <w:sz w:val="20"/>
      <w:szCs w:val="20"/>
      <w:u w:val="none"/>
      <w:shd w:val="clear" w:color="auto" w:fill="auto"/>
    </w:rPr>
  </w:style>
  <w:style w:type="paragraph" w:customStyle="1" w:styleId="18">
    <w:name w:val="Header or footer|2"/>
    <w:basedOn w:val="1"/>
    <w:qFormat/>
    <w:uiPriority w:val="0"/>
    <w:pPr>
      <w:widowControl w:val="0"/>
      <w:shd w:val="clear" w:color="auto" w:fill="auto"/>
    </w:pPr>
    <w:rPr>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181</Words>
  <Characters>183</Characters>
  <Lines>0</Lines>
  <Paragraphs>0</Paragraphs>
  <TotalTime>29</TotalTime>
  <ScaleCrop>false</ScaleCrop>
  <LinksUpToDate>false</LinksUpToDate>
  <CharactersWithSpaces>190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2022-04-15T02:11:00Z</dcterms:created>
  <dc:creator>果果</dc:creator>
  <cp:lastModifiedBy>吉吉</cp:lastModifiedBy>
  <cp:lastPrinted>2022-11-04T06:17:00Z</cp:lastPrinted>
  <dcterms:modified xsi:type="dcterms:W3CDTF">2022-12-29T06:43:00Z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016E8A9809534475A9EE21977845CC83</vt:lpwstr>
  </property>
</Properties>
</file>