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cs="宋体" w:asciiTheme="minorEastAsia" w:hAnsiTheme="minorEastAsia" w:eastAsiaTheme="minorEastAsia"/>
          <w:color w:val="auto"/>
          <w:sz w:val="21"/>
          <w:szCs w:val="21"/>
          <w:lang w:val="zh-CN"/>
        </w:rPr>
        <w:id w:val="-619607285"/>
        <w:docPartObj>
          <w:docPartGallery w:val="Table of Contents"/>
          <w:docPartUnique/>
        </w:docPartObj>
      </w:sdtPr>
      <w:sdtEndPr>
        <w:rPr>
          <w:rFonts w:cs="宋体" w:asciiTheme="minorEastAsia" w:hAnsiTheme="minorEastAsia" w:eastAsiaTheme="minorEastAsia"/>
          <w:b/>
          <w:bCs/>
          <w:color w:val="auto"/>
          <w:sz w:val="21"/>
          <w:szCs w:val="21"/>
          <w:lang w:val="zh-CN"/>
        </w:rPr>
      </w:sdtEndPr>
      <w:sdtContent>
        <w:p>
          <w:pPr>
            <w:pStyle w:val="45"/>
          </w:pPr>
          <w:r>
            <w:rPr>
              <w:lang w:val="zh-CN"/>
            </w:rPr>
            <w:t>目录</w:t>
          </w:r>
        </w:p>
        <w:p>
          <w:pPr>
            <w:pStyle w:val="1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"_Toc113953973"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易考在线考试考生操作手册</w:t>
          </w:r>
          <w:r>
            <w:tab/>
          </w:r>
          <w:r>
            <w:fldChar w:fldCharType="begin"/>
          </w:r>
          <w:r>
            <w:instrText xml:space="preserve"> PAGEREF _Toc113953973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"_Toc113953974"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1.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考试环境及其考试设备准备</w:t>
          </w:r>
          <w:r>
            <w:tab/>
          </w:r>
          <w:r>
            <w:fldChar w:fldCharType="begin"/>
          </w:r>
          <w:r>
            <w:instrText xml:space="preserve"> PAGEREF _Toc113953974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"_Toc113953975"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1.1.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考试环境的要求</w:t>
          </w:r>
          <w:r>
            <w:tab/>
          </w:r>
          <w:r>
            <w:fldChar w:fldCharType="begin"/>
          </w:r>
          <w:r>
            <w:instrText xml:space="preserve"> PAGEREF _Toc113953975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"_Toc113953976"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1.2.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考试设备要求</w:t>
          </w:r>
          <w:r>
            <w:tab/>
          </w:r>
          <w:r>
            <w:fldChar w:fldCharType="begin"/>
          </w:r>
          <w:r>
            <w:instrText xml:space="preserve"> PAGEREF _Toc113953976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"_Toc113953977"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1.3.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用于在线考试的电脑</w:t>
          </w:r>
          <w:r>
            <w:tab/>
          </w:r>
          <w:r>
            <w:fldChar w:fldCharType="begin"/>
          </w:r>
          <w:r>
            <w:instrText xml:space="preserve"> PAGEREF _Toc113953977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"_Toc113953978"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1.4.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用于第二视角（鹰眼）监控的设备</w:t>
          </w:r>
          <w:r>
            <w:tab/>
          </w:r>
          <w:r>
            <w:fldChar w:fldCharType="begin"/>
          </w:r>
          <w:r>
            <w:instrText xml:space="preserve"> PAGEREF _Toc113953978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"_Toc113953979"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1.5.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考试场所网络条件要求</w:t>
          </w:r>
          <w:r>
            <w:tab/>
          </w:r>
          <w:r>
            <w:fldChar w:fldCharType="begin"/>
          </w:r>
          <w:r>
            <w:instrText xml:space="preserve"> PAGEREF _Toc113953979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"_Toc113953980"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2.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易考客户端下载、安装和调试</w:t>
          </w:r>
          <w:r>
            <w:tab/>
          </w:r>
          <w:r>
            <w:fldChar w:fldCharType="begin"/>
          </w:r>
          <w:r>
            <w:instrText xml:space="preserve"> PAGEREF _Toc113953980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"_Toc113953981"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2.1.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获取易考客户端</w:t>
          </w:r>
          <w:r>
            <w:tab/>
          </w:r>
          <w:r>
            <w:fldChar w:fldCharType="begin"/>
          </w:r>
          <w:r>
            <w:instrText xml:space="preserve"> PAGEREF _Toc113953981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"_Toc113953982"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2.2.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易考客户端安装</w:t>
          </w:r>
          <w:r>
            <w:tab/>
          </w:r>
          <w:r>
            <w:fldChar w:fldCharType="begin"/>
          </w:r>
          <w:r>
            <w:instrText xml:space="preserve"> PAGEREF _Toc113953982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"_Toc113953983"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2.3.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使用易考客户端进入考试</w:t>
          </w:r>
          <w:r>
            <w:tab/>
          </w:r>
          <w:r>
            <w:fldChar w:fldCharType="begin"/>
          </w:r>
          <w:r>
            <w:instrText xml:space="preserve"> PAGEREF _Toc113953983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"_Toc113953984"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2.4.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开启鹰眼监控</w:t>
          </w:r>
          <w:r>
            <w:tab/>
          </w:r>
          <w:r>
            <w:fldChar w:fldCharType="begin"/>
          </w:r>
          <w:r>
            <w:instrText xml:space="preserve"> PAGEREF _Toc113953984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"_Toc113953985"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3.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易考的答题过程</w:t>
          </w:r>
          <w:r>
            <w:tab/>
          </w:r>
          <w:r>
            <w:fldChar w:fldCharType="begin"/>
          </w:r>
          <w:r>
            <w:instrText xml:space="preserve"> PAGEREF _Toc113953985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"_Toc113953986"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3.1.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考试界面简介</w:t>
          </w:r>
          <w:r>
            <w:tab/>
          </w:r>
          <w:r>
            <w:fldChar w:fldCharType="begin"/>
          </w:r>
          <w:r>
            <w:instrText xml:space="preserve"> PAGEREF _Toc113953986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"_Toc113953987"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3.2.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考生与监考的交互</w:t>
          </w:r>
          <w:r>
            <w:tab/>
          </w:r>
          <w:r>
            <w:fldChar w:fldCharType="begin"/>
          </w:r>
          <w:r>
            <w:instrText xml:space="preserve"> PAGEREF _Toc113953987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"_Toc113953988"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3.3.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考生如何获得技术支持</w:t>
          </w:r>
          <w:r>
            <w:tab/>
          </w:r>
          <w:r>
            <w:fldChar w:fldCharType="begin"/>
          </w:r>
          <w:r>
            <w:instrText xml:space="preserve"> PAGEREF _Toc113953988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"_Toc113953989"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4.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考生视频监控布置</w:t>
          </w:r>
          <w:r>
            <w:tab/>
          </w:r>
          <w:r>
            <w:fldChar w:fldCharType="begin"/>
          </w:r>
          <w:r>
            <w:instrText xml:space="preserve"> PAGEREF _Toc113953989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"_Toc113953990"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4.1.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主视角监控注意事项：</w:t>
          </w:r>
          <w:r>
            <w:tab/>
          </w:r>
          <w:r>
            <w:fldChar w:fldCharType="begin"/>
          </w:r>
          <w:r>
            <w:instrText xml:space="preserve"> PAGEREF _Toc113953990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"_Toc113953991"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4.2.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鹰眼监控注意事项：</w:t>
          </w:r>
          <w:r>
            <w:tab/>
          </w:r>
          <w:r>
            <w:fldChar w:fldCharType="begin"/>
          </w:r>
          <w:r>
            <w:instrText xml:space="preserve"> PAGEREF _Toc113953991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"_Toc113953992"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5.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附件：摄像头故障解决方法</w:t>
          </w:r>
          <w:r>
            <w:tab/>
          </w:r>
          <w:r>
            <w:fldChar w:fldCharType="begin"/>
          </w:r>
          <w:r>
            <w:instrText xml:space="preserve"> PAGEREF _Toc113953992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"_Toc113953993"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5.1.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摄像头黑屏/提示相机被禁用</w:t>
          </w:r>
          <w:r>
            <w:tab/>
          </w:r>
          <w:r>
            <w:fldChar w:fldCharType="begin"/>
          </w:r>
          <w:r>
            <w:instrText xml:space="preserve"> PAGEREF _Toc113953993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"_Toc113953994"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5.2.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媒体设备错误无法读取</w:t>
          </w:r>
          <w:r>
            <w:tab/>
          </w:r>
          <w:r>
            <w:fldChar w:fldCharType="begin"/>
          </w:r>
          <w:r>
            <w:instrText xml:space="preserve"> PAGEREF _Toc113953994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ind w:left="422" w:hanging="42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adjustRightInd/>
        <w:snapToGrid/>
        <w:ind w:left="0" w:firstLine="0" w:firstLineChars="0"/>
        <w:rPr>
          <w:rFonts w:ascii="华文中宋" w:hAnsi="华文中宋" w:eastAsia="华文中宋" w:cstheme="majorBidi"/>
          <w:b/>
          <w:bCs/>
          <w:sz w:val="32"/>
          <w:szCs w:val="32"/>
        </w:rPr>
      </w:pPr>
      <w:r>
        <w:rPr>
          <w:rFonts w:ascii="华文中宋" w:hAnsi="华文中宋" w:eastAsia="华文中宋"/>
        </w:rPr>
        <w:br w:type="page"/>
      </w:r>
    </w:p>
    <w:p>
      <w:pPr>
        <w:pStyle w:val="15"/>
        <w:spacing w:before="100" w:beforeAutospacing="1" w:after="100" w:afterAutospacing="1"/>
        <w:ind w:left="641" w:hanging="641"/>
        <w:rPr>
          <w:rFonts w:ascii="华文中宋" w:hAnsi="华文中宋" w:eastAsia="华文中宋"/>
        </w:rPr>
      </w:pPr>
      <w:bookmarkStart w:id="0" w:name="_Toc113953973"/>
      <w:r>
        <w:rPr>
          <w:rFonts w:hint="eastAsia" w:ascii="华文中宋" w:hAnsi="华文中宋" w:eastAsia="华文中宋"/>
        </w:rPr>
        <w:t>易考在线考试考生操作手册</w:t>
      </w:r>
      <w:bookmarkEnd w:id="0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2"/>
        <w:ind w:left="422" w:hanging="422"/>
        <w:rPr>
          <w:rFonts w:ascii="华文中宋" w:hAnsi="华文中宋" w:eastAsia="华文中宋"/>
        </w:rPr>
      </w:pPr>
      <w:bookmarkStart w:id="1" w:name="__第二视角鹰眼监控要求"/>
      <w:bookmarkEnd w:id="1"/>
      <w:bookmarkStart w:id="2" w:name="___第二视角鹰眼监控要求"/>
      <w:bookmarkEnd w:id="2"/>
      <w:bookmarkStart w:id="3" w:name="_Toc113953974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  <w:bookmarkEnd w:id="3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4" w:name="_Toc113953975"/>
      <w:r>
        <w:rPr>
          <w:rFonts w:hint="eastAsia" w:ascii="华文中宋" w:hAnsi="华文中宋" w:eastAsia="华文中宋"/>
        </w:rPr>
        <w:t>考试环境的要求</w:t>
      </w:r>
      <w:bookmarkEnd w:id="4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27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27"/>
        <w:ind w:left="420" w:right="420" w:firstLine="0" w:firstLineChars="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5" w:name="_Toc113953976"/>
      <w:r>
        <w:rPr>
          <w:rFonts w:hint="eastAsia" w:ascii="华文中宋" w:hAnsi="华文中宋" w:eastAsia="华文中宋"/>
        </w:rPr>
        <w:t>考试设备要求</w:t>
      </w:r>
      <w:bookmarkEnd w:id="5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55135" cy="44126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请注意：考试过程中不得使用额外的显示器。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6" w:name="_Toc113953977"/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  <w:bookmarkEnd w:id="6"/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11或Mac OS 10.15</w:t>
      </w:r>
      <w:r>
        <w:rPr>
          <w:rFonts w:hint="eastAsia" w:ascii="华文中宋" w:hAnsi="华文中宋" w:eastAsia="华文中宋"/>
        </w:rPr>
        <w:t>.</w:t>
      </w:r>
      <w:r>
        <w:rPr>
          <w:rFonts w:ascii="华文中宋" w:hAnsi="华文中宋" w:eastAsia="华文中宋"/>
        </w:rPr>
        <w:t>7及以上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>
      <w:pPr>
        <w:pStyle w:val="27"/>
        <w:widowControl w:val="0"/>
        <w:adjustRightInd/>
        <w:ind w:left="845" w:right="420" w:firstLine="0" w:firstLineChars="0"/>
        <w:jc w:val="both"/>
        <w:rPr>
          <w:rFonts w:hint="eastAsia" w:ascii="华文中宋" w:hAnsi="华文中宋" w:eastAsia="华文中宋"/>
          <w:color w:val="FF0000"/>
        </w:rPr>
      </w:pPr>
      <w:r>
        <w:rPr>
          <w:rFonts w:ascii="华文中宋" w:hAnsi="华文中宋" w:eastAsia="华文中宋"/>
          <w:color w:val="FF0000"/>
        </w:rPr>
        <w:t>不允许使用耳机或耳麦参加考试</w:t>
      </w:r>
      <w:r>
        <w:rPr>
          <w:rFonts w:hint="eastAsia" w:ascii="华文中宋" w:hAnsi="华文中宋" w:eastAsia="华文中宋"/>
          <w:color w:val="FF0000"/>
        </w:rPr>
        <w:t>，</w:t>
      </w:r>
      <w:r>
        <w:rPr>
          <w:rFonts w:ascii="华文中宋" w:hAnsi="华文中宋" w:eastAsia="华文中宋"/>
          <w:color w:val="FF0000"/>
        </w:rPr>
        <w:t>考试过程中如佩戴耳机或耳麦</w:t>
      </w:r>
      <w:r>
        <w:rPr>
          <w:rFonts w:hint="eastAsia" w:ascii="华文中宋" w:hAnsi="华文中宋" w:eastAsia="华文中宋"/>
          <w:color w:val="FF0000"/>
        </w:rPr>
        <w:t>，</w:t>
      </w:r>
      <w:r>
        <w:rPr>
          <w:rFonts w:ascii="华文中宋" w:hAnsi="华文中宋" w:eastAsia="华文中宋"/>
          <w:color w:val="FF0000"/>
        </w:rPr>
        <w:t>将会判定为违纪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hint="eastAsia" w:ascii="华文中宋" w:hAnsi="华文中宋" w:eastAsia="华文中宋"/>
          <w:color w:val="FF0000"/>
        </w:rPr>
      </w:pPr>
      <w:r>
        <w:rPr>
          <w:rFonts w:ascii="华文中宋" w:hAnsi="华文中宋" w:eastAsia="华文中宋"/>
          <w:color w:val="FF0000"/>
        </w:rPr>
        <w:t>不允许使用耳机或耳麦参加考试</w:t>
      </w:r>
      <w:r>
        <w:rPr>
          <w:rFonts w:hint="eastAsia" w:ascii="华文中宋" w:hAnsi="华文中宋" w:eastAsia="华文中宋"/>
          <w:color w:val="FF0000"/>
        </w:rPr>
        <w:t>，</w:t>
      </w:r>
      <w:r>
        <w:rPr>
          <w:rFonts w:ascii="华文中宋" w:hAnsi="华文中宋" w:eastAsia="华文中宋"/>
          <w:color w:val="FF0000"/>
        </w:rPr>
        <w:t>考试过程中如佩戴耳机或耳麦</w:t>
      </w:r>
      <w:r>
        <w:rPr>
          <w:rFonts w:hint="eastAsia" w:ascii="华文中宋" w:hAnsi="华文中宋" w:eastAsia="华文中宋"/>
          <w:color w:val="FF0000"/>
        </w:rPr>
        <w:t>，</w:t>
      </w:r>
      <w:r>
        <w:rPr>
          <w:rFonts w:ascii="华文中宋" w:hAnsi="华文中宋" w:eastAsia="华文中宋"/>
          <w:color w:val="FF0000"/>
        </w:rPr>
        <w:t>将会判定为违纪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>
      <w:pPr>
        <w:pStyle w:val="27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请注意：易考客户端不支持安装在平板电脑或移动设备上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/>
        </w:rPr>
        <w:t>进入考试系统前关闭电脑上与考试无关网页和软件，包括各类通讯软件以及</w:t>
      </w:r>
      <w:bookmarkStart w:id="7" w:name="_Hlk113445246"/>
      <w:r>
        <w:rPr>
          <w:rFonts w:hint="eastAsia" w:ascii="华文中宋" w:hAnsi="华文中宋" w:eastAsia="华文中宋"/>
        </w:rPr>
        <w:t>音视频播放。</w:t>
      </w:r>
      <w:r>
        <w:rPr>
          <w:rFonts w:hint="eastAsia" w:ascii="华文中宋" w:hAnsi="华文中宋" w:eastAsia="华文中宋" w:cs="等线"/>
        </w:rPr>
        <w:t>考生务必仔细清理考试设备，彻底关闭尤其是具有投屏功能的软件、直播功能的软件</w:t>
      </w:r>
      <w:bookmarkEnd w:id="7"/>
      <w:r>
        <w:rPr>
          <w:rFonts w:hint="eastAsia" w:ascii="华文中宋" w:hAnsi="华文中宋" w:eastAsia="华文中宋" w:cs="等线"/>
        </w:rPr>
        <w:t>（如乐播）、远程协作工具（如向日葵、Teamview）、网络代理程序及VPN程序等。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8" w:name="_Toc113953978"/>
      <w:r>
        <w:rPr>
          <w:rFonts w:hint="eastAsia" w:ascii="华文中宋" w:hAnsi="华文中宋" w:eastAsia="华文中宋"/>
        </w:rPr>
        <w:t>用于第二视角（鹰眼）监控的设备</w:t>
      </w:r>
      <w:bookmarkEnd w:id="8"/>
    </w:p>
    <w:p>
      <w:pPr>
        <w:pStyle w:val="27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27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7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spacing w:before="156" w:beforeLines="50" w:after="156" w:afterLines="50"/>
        <w:rPr>
          <w:rStyle w:val="20"/>
          <w:rFonts w:ascii="华文中宋" w:hAnsi="华文中宋" w:eastAsia="华文中宋"/>
          <w:bCs/>
        </w:rPr>
      </w:pPr>
      <w:r>
        <w:rPr>
          <w:rStyle w:val="20"/>
          <w:rFonts w:hint="eastAsia" w:ascii="华文中宋" w:hAnsi="华文中宋" w:eastAsia="华文中宋"/>
          <w:bCs/>
        </w:rPr>
        <w:t>请注意：使用推荐的浏览器可获得较为稳定的考试体验，建议考生优先使用。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9" w:name="_Toc113953979"/>
      <w:r>
        <w:rPr>
          <w:rFonts w:hint="eastAsia" w:ascii="华文中宋" w:hAnsi="华文中宋" w:eastAsia="华文中宋"/>
        </w:rPr>
        <w:t>考试场所网络条件要求</w:t>
      </w:r>
      <w:bookmarkEnd w:id="9"/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</w:t>
      </w:r>
      <w:r>
        <w:rPr>
          <w:rFonts w:cs="等线"/>
        </w:rPr>
        <w:t>50</w:t>
      </w:r>
      <w:r>
        <w:rPr>
          <w:rFonts w:ascii="华文中宋" w:hAnsi="华文中宋" w:eastAsia="华文中宋" w:cs="等线"/>
        </w:rPr>
        <w:t>Mbps或以上的独立光纤网络；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6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drawing>
          <wp:inline distT="0" distB="0" distL="0" distR="0">
            <wp:extent cx="2252345" cy="11334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中看到异常提示后应尽快排除网络故障或切换到备用网络。故障解决后，考生可重新进入考试继续作答，网络故障发生之前的作答结果会保存；但是，由于考试设备或网络故障导致考试时间的损失、或无法完成考试的，不会获得补时或补考的机会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</w:p>
    <w:p>
      <w:pPr>
        <w:widowControl w:val="0"/>
        <w:adjustRightInd/>
        <w:ind w:left="0" w:firstLine="0" w:firstLineChars="0"/>
        <w:jc w:val="both"/>
        <w:rPr>
          <w:rFonts w:cs="等线"/>
          <w:b/>
          <w:bCs/>
          <w:color w:val="C00000"/>
        </w:rPr>
      </w:pPr>
      <w:r>
        <w:rPr>
          <w:rFonts w:hint="eastAsia" w:ascii="华文中宋" w:hAnsi="华文中宋" w:eastAsia="华文中宋" w:cs="等线"/>
          <w:b/>
          <w:bCs/>
          <w:color w:val="C00000"/>
        </w:rPr>
        <w:t>重要提示：建议考生预先通过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 w:cs="等线"/>
          <w:b/>
          <w:bCs/>
          <w:color w:val="C00000"/>
        </w:rPr>
        <w:t>https://eztest.org/home/entry/</w:t>
      </w:r>
      <w:r>
        <w:rPr>
          <w:rFonts w:ascii="华文中宋" w:hAnsi="华文中宋" w:eastAsia="华文中宋" w:cs="等线"/>
          <w:b/>
          <w:bCs/>
          <w:color w:val="C00000"/>
        </w:rPr>
        <w:fldChar w:fldCharType="end"/>
      </w:r>
      <w:r>
        <w:rPr>
          <w:rFonts w:ascii="华文中宋" w:hAnsi="华文中宋" w:eastAsia="华文中宋" w:cs="等线"/>
          <w:b/>
          <w:bCs/>
          <w:color w:val="C00000"/>
        </w:rPr>
        <w:t xml:space="preserve"> 页面的调试功能，分别验证自己准备的考试设备、鹰眼设备的可用性，如不能正常使用</w:t>
      </w:r>
      <w:r>
        <w:rPr>
          <w:rFonts w:hint="eastAsia" w:ascii="华文中宋" w:hAnsi="华文中宋" w:eastAsia="华文中宋" w:cs="等线"/>
          <w:b/>
          <w:bCs/>
          <w:color w:val="C00000"/>
        </w:rPr>
        <w:t>可及时更换。</w:t>
      </w:r>
    </w:p>
    <w:p>
      <w:pPr>
        <w:widowControl w:val="0"/>
        <w:adjustRightInd/>
        <w:ind w:firstLineChars="0"/>
        <w:jc w:val="both"/>
        <w:rPr>
          <w:rFonts w:ascii="华文中宋" w:hAnsi="华文中宋" w:eastAsia="华文中宋" w:cs="等线"/>
        </w:rPr>
      </w:pP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0" w:name="_Toc113953980"/>
      <w:r>
        <w:rPr>
          <w:rFonts w:hint="eastAsia" w:ascii="华文中宋" w:hAnsi="华文中宋" w:eastAsia="华文中宋"/>
        </w:rPr>
        <w:t>易考客户端下载、安装和调试</w:t>
      </w:r>
      <w:bookmarkEnd w:id="10"/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1" w:name="_Toc113953981"/>
      <w:r>
        <w:rPr>
          <w:rFonts w:hint="eastAsia" w:ascii="华文中宋" w:hAnsi="华文中宋" w:eastAsia="华文中宋"/>
        </w:rPr>
        <w:t>获取易考客户端</w:t>
      </w:r>
      <w:bookmarkEnd w:id="11"/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2" w:name="_Toc113953982"/>
      <w:r>
        <w:rPr>
          <w:rFonts w:hint="eastAsia" w:ascii="华文中宋" w:hAnsi="华文中宋" w:eastAsia="华文中宋"/>
        </w:rPr>
        <w:t>易考客户端安装</w:t>
      </w:r>
      <w:bookmarkEnd w:id="12"/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15.7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3" w:name="_Toc113953983"/>
      <w:r>
        <w:rPr>
          <w:rFonts w:hint="eastAsia" w:ascii="华文中宋" w:hAnsi="华文中宋" w:eastAsia="华文中宋"/>
        </w:rPr>
        <w:t>使用易考客户端进入考试</w:t>
      </w:r>
      <w:bookmarkEnd w:id="13"/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</w:t>
      </w:r>
      <w:r>
        <w:rPr>
          <w:rFonts w:ascii="华文中宋" w:hAnsi="华文中宋" w:eastAsia="华文中宋"/>
        </w:rPr>
        <w:t>考试口令</w:t>
      </w:r>
      <w:r>
        <w:rPr>
          <w:rFonts w:hint="eastAsia" w:ascii="华文中宋" w:hAnsi="华文中宋" w:eastAsia="华文中宋"/>
          <w:lang w:eastAsia="zh-CN"/>
        </w:rPr>
        <w:t>通过短信</w:t>
      </w:r>
      <w:r>
        <w:rPr>
          <w:rFonts w:ascii="华文中宋" w:hAnsi="华文中宋" w:eastAsia="华文中宋"/>
        </w:rPr>
        <w:t>通知考生。</w:t>
      </w:r>
    </w:p>
    <w:p>
      <w:pPr>
        <w:rPr>
          <w:rFonts w:ascii="华文中宋" w:hAnsi="华文中宋" w:eastAsia="华文中宋"/>
        </w:rPr>
      </w:pPr>
    </w:p>
    <w:p>
      <w:pPr>
        <w:pStyle w:val="27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</w:t>
      </w:r>
      <w:r>
        <w:rPr>
          <w:rFonts w:hint="eastAsia" w:ascii="华文中宋" w:hAnsi="华文中宋" w:eastAsia="华文中宋"/>
          <w:b/>
          <w:bCs/>
          <w:color w:val="00B050"/>
          <w:lang w:eastAsia="zh-CN"/>
        </w:rPr>
        <w:t>短信</w:t>
      </w:r>
      <w:r>
        <w:rPr>
          <w:rFonts w:hint="eastAsia" w:ascii="华文中宋" w:hAnsi="华文中宋" w:eastAsia="华文中宋"/>
          <w:b/>
          <w:bCs/>
          <w:color w:val="00B050"/>
        </w:rPr>
        <w:t>通知，切勿使用错误的口令以免错过考试。</w:t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911600" cy="2835910"/>
            <wp:effectExtent l="0" t="0" r="0" b="254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设备调试1</w:t>
      </w: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</w:t>
      </w:r>
      <w:r>
        <w:rPr>
          <w:rFonts w:hint="eastAsia" w:ascii="华文中宋" w:hAnsi="华文中宋" w:eastAsia="华文中宋"/>
          <w:b/>
          <w:bCs/>
          <w:color w:val="00B050"/>
        </w:rPr>
        <w:t>准考证号</w:t>
      </w:r>
      <w:r>
        <w:rPr>
          <w:rFonts w:hint="eastAsia" w:ascii="华文中宋" w:hAnsi="华文中宋" w:eastAsia="华文中宋"/>
          <w:b/>
          <w:bCs/>
          <w:color w:val="00B050"/>
          <w:lang w:eastAsia="zh-CN"/>
        </w:rPr>
        <w:t>（考生身份证号）</w:t>
      </w:r>
      <w:r>
        <w:rPr>
          <w:rFonts w:ascii="华文中宋" w:hAnsi="华文中宋" w:eastAsia="华文中宋"/>
          <w:b/>
          <w:bCs/>
          <w:color w:val="00B050"/>
        </w:rPr>
        <w:t>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6" w:name="_GoBack"/>
      <w:bookmarkEnd w:id="26"/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4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</w:t>
      </w:r>
      <w:r>
        <w:rPr>
          <w:rFonts w:hint="eastAsia" w:ascii="华文中宋" w:hAnsi="华文中宋" w:eastAsia="华文中宋"/>
        </w:rPr>
        <w:t>准考证号</w:t>
      </w:r>
      <w:r>
        <w:rPr>
          <w:rFonts w:hint="eastAsia" w:ascii="华文中宋" w:hAnsi="华文中宋" w:eastAsia="华文中宋"/>
          <w:lang w:eastAsia="zh-CN"/>
        </w:rPr>
        <w:t>（考生身份证号）</w:t>
      </w:r>
      <w:r>
        <w:rPr>
          <w:rFonts w:ascii="华文中宋" w:hAnsi="华文中宋" w:eastAsia="华文中宋"/>
        </w:rPr>
        <w:t>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5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2" w:firstLineChars="200"/>
        <w:rPr>
          <w:rStyle w:val="20"/>
          <w:rFonts w:ascii="华文中宋" w:hAnsi="华文中宋" w:eastAsia="华文中宋"/>
          <w:b w:val="0"/>
          <w:color w:val="auto"/>
        </w:rPr>
      </w:pPr>
      <w:r>
        <w:rPr>
          <w:rStyle w:val="20"/>
          <w:rFonts w:ascii="华文中宋" w:hAnsi="华文中宋" w:eastAsia="华文中宋"/>
          <w:bCs/>
        </w:rPr>
        <w:t>请注意：</w:t>
      </w:r>
      <w:r>
        <w:rPr>
          <w:rStyle w:val="20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6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7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4" w:name="_Toc113953984"/>
      <w:r>
        <w:rPr>
          <w:rFonts w:hint="eastAsia" w:ascii="华文中宋" w:hAnsi="华文中宋" w:eastAsia="华文中宋"/>
        </w:rPr>
        <w:t>开启鹰眼监控</w:t>
      </w:r>
      <w:bookmarkEnd w:id="14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8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9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5" w:name="_Toc113953985"/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  <w:bookmarkEnd w:id="15"/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6" w:name="_Toc113953986"/>
      <w:r>
        <w:rPr>
          <w:rFonts w:hint="eastAsia" w:ascii="华文中宋" w:hAnsi="华文中宋" w:eastAsia="华文中宋"/>
        </w:rPr>
        <w:t>考试界面简介</w:t>
      </w:r>
      <w:bookmarkEnd w:id="16"/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7" w:name="_Toc113953987"/>
      <w:r>
        <w:rPr>
          <w:rFonts w:hint="eastAsia" w:ascii="华文中宋" w:hAnsi="华文中宋" w:eastAsia="华文中宋"/>
        </w:rPr>
        <w:t>考生与监考的交互</w:t>
      </w:r>
      <w:bookmarkEnd w:id="17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4384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O1aP2AAAAAkBAAAPAAAAAAAAAAEAIAAAACIAAABkcnMvZG93&#10;bnJldi54bWxQSwECFAAUAAAACACHTuJAWF7PgDkCAABV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8" w:name="_Toc113953988"/>
      <w:r>
        <w:rPr>
          <w:rFonts w:hint="eastAsia" w:ascii="华文中宋" w:hAnsi="华文中宋" w:eastAsia="华文中宋"/>
        </w:rPr>
        <w:t>考生如何获得技术支持</w:t>
      </w:r>
      <w:bookmarkEnd w:id="18"/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5408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x7+z1gAAAAgBAAAPAAAAAAAAAAEAIAAAACIAAABkcnMvZG93bnJldi54bWxQSwECFAAUAAAACACH&#10;TuJANwAfeSYCAAAqBAAADgAAAAAAAAABACAAAAAl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left="0" w:firstLine="422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；严禁向技术支持透露或咨询与考试内容有关的问题。关于考试资格、考试成绩、合格线等非考试系统问题，考生需另行咨询.</w:t>
      </w:r>
      <w:bookmarkStart w:id="19" w:name="_第二视角鹰眼监控要求"/>
      <w:bookmarkEnd w:id="19"/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20" w:name="_Toc113953989"/>
      <w:r>
        <w:rPr>
          <w:rFonts w:hint="eastAsia" w:ascii="华文中宋" w:hAnsi="华文中宋" w:eastAsia="华文中宋"/>
        </w:rPr>
        <w:t>考生视频监控布置</w:t>
      </w:r>
      <w:bookmarkEnd w:id="20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1" w:name="_Toc113953990"/>
      <w:r>
        <w:rPr>
          <w:rFonts w:hint="eastAsia" w:ascii="华文中宋" w:hAnsi="华文中宋" w:eastAsia="华文中宋"/>
        </w:rPr>
        <w:t>主视角监控注意事项：</w:t>
      </w:r>
      <w:bookmarkEnd w:id="21"/>
    </w:p>
    <w:p>
      <w:pPr>
        <w:pStyle w:val="27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27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2" w:name="_Toc113953991"/>
      <w:r>
        <w:rPr>
          <w:rFonts w:hint="eastAsia" w:ascii="华文中宋" w:hAnsi="华文中宋" w:eastAsia="华文中宋"/>
        </w:rPr>
        <w:t>鹰眼监控注意事项：</w:t>
      </w:r>
      <w:bookmarkEnd w:id="22"/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12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55pt;margin-top:211.6pt;height:0.05pt;width:154.5pt;mso-wrap-distance-bottom:0pt;mso-wrap-distance-left:9pt;mso-wrap-distance-right:9pt;mso-wrap-distance-top:0pt;z-index:251663360;mso-width-relative:page;mso-height-relative:page;" fillcolor="#FFFFFF" filled="t" stroked="f" coordsize="21600,21600" o:gfxdata="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X7ygtoAAAALAQAADwAAAAAAAAABACAAAAAiAAAAZHJz&#10;L2Rvd25yZXYueG1sUEsBAhQAFAAAAAgAh07iQL5ctIo7AgAAdAQAAA4AAAAAAAAAAQAgAAAAKQ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12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11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11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7"/>
        <w:ind w:left="0" w:firstLine="422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考试过程的中采集的监控信息，将只允许考试查阅，作为判定考生是否遵守考试规则的辅助依据；不会用在除此之外的其他用途。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br w:type="page"/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23" w:name="_Toc113953992"/>
      <w:r>
        <w:rPr>
          <w:rFonts w:hint="eastAsia" w:ascii="华文中宋" w:hAnsi="华文中宋" w:eastAsia="华文中宋"/>
        </w:rPr>
        <w:t>附件：摄像头故障解决方法</w:t>
      </w:r>
      <w:bookmarkEnd w:id="23"/>
    </w:p>
    <w:p>
      <w:r>
        <w:rPr>
          <w:rFonts w:hint="eastAsia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4" w:name="_Toc113953993"/>
      <w:r>
        <w:rPr>
          <w:rFonts w:ascii="华文中宋" w:hAnsi="华文中宋" w:eastAsia="华文中宋"/>
        </w:rPr>
        <w:t>摄像头黑屏/提示相机被禁用</w:t>
      </w:r>
      <w:bookmarkEnd w:id="24"/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5" w:name="_Toc113953994"/>
      <w:r>
        <w:rPr>
          <w:rFonts w:hint="eastAsia" w:ascii="华文中宋" w:hAnsi="华文中宋" w:eastAsia="华文中宋"/>
        </w:rPr>
        <w:t>媒体设备错误无法读取</w:t>
      </w:r>
      <w:bookmarkEnd w:id="25"/>
    </w:p>
    <w:p>
      <w:pPr>
        <w:pStyle w:val="27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27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>
      <w:pPr>
        <w:pStyle w:val="12"/>
        <w:ind w:left="360" w:hanging="360"/>
      </w:pPr>
      <w:r>
        <w:rPr>
          <w:rStyle w:val="26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  <w:r>
      <w:ptab w:relativeTo="margin" w:alignment="center" w:leader="none"/>
    </w:r>
    <w:r>
      <w:ptab w:relativeTo="margin" w:alignment="right" w:leader="none"/>
    </w:r>
    <w:r>
      <w:drawing>
        <wp:inline distT="0" distB="0" distL="0" distR="0">
          <wp:extent cx="647700" cy="299085"/>
          <wp:effectExtent l="0" t="0" r="0" b="5715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108" cy="302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  <w:color w:val="auto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U2YmU3NGNmYTk0ODdmMWJkMTQxZTVlMzI3MjE1YWE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0DB1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33A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A5BB7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128C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42A1"/>
    <w:rsid w:val="004977F2"/>
    <w:rsid w:val="004A77AB"/>
    <w:rsid w:val="004B2A36"/>
    <w:rsid w:val="004C2C23"/>
    <w:rsid w:val="004C5570"/>
    <w:rsid w:val="004C62E4"/>
    <w:rsid w:val="004C7848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5F18"/>
    <w:rsid w:val="0053761A"/>
    <w:rsid w:val="005433AA"/>
    <w:rsid w:val="00546B91"/>
    <w:rsid w:val="00547256"/>
    <w:rsid w:val="00551B8F"/>
    <w:rsid w:val="00553B1B"/>
    <w:rsid w:val="00554DC7"/>
    <w:rsid w:val="005556C0"/>
    <w:rsid w:val="005663AF"/>
    <w:rsid w:val="00572948"/>
    <w:rsid w:val="005745B4"/>
    <w:rsid w:val="0057473D"/>
    <w:rsid w:val="00575822"/>
    <w:rsid w:val="00577553"/>
    <w:rsid w:val="005823C5"/>
    <w:rsid w:val="00586797"/>
    <w:rsid w:val="0059157D"/>
    <w:rsid w:val="00591A93"/>
    <w:rsid w:val="00592439"/>
    <w:rsid w:val="00592B82"/>
    <w:rsid w:val="00597FB0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3C8A"/>
    <w:rsid w:val="005F41BF"/>
    <w:rsid w:val="005F4656"/>
    <w:rsid w:val="00601499"/>
    <w:rsid w:val="00601EB0"/>
    <w:rsid w:val="00605133"/>
    <w:rsid w:val="006113A7"/>
    <w:rsid w:val="00617D2E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0E6E"/>
    <w:rsid w:val="00662ED4"/>
    <w:rsid w:val="00664113"/>
    <w:rsid w:val="006757E6"/>
    <w:rsid w:val="00675925"/>
    <w:rsid w:val="00683B04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075B3"/>
    <w:rsid w:val="00714FA9"/>
    <w:rsid w:val="007214EB"/>
    <w:rsid w:val="00724C05"/>
    <w:rsid w:val="007258FA"/>
    <w:rsid w:val="00727536"/>
    <w:rsid w:val="00732128"/>
    <w:rsid w:val="0073450F"/>
    <w:rsid w:val="00736034"/>
    <w:rsid w:val="007369D6"/>
    <w:rsid w:val="00741708"/>
    <w:rsid w:val="00747464"/>
    <w:rsid w:val="00752200"/>
    <w:rsid w:val="00752770"/>
    <w:rsid w:val="00756845"/>
    <w:rsid w:val="0076066B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5D9C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233E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4923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447D8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C7EED"/>
    <w:rsid w:val="009D3379"/>
    <w:rsid w:val="009D6751"/>
    <w:rsid w:val="009D7F38"/>
    <w:rsid w:val="009E1C54"/>
    <w:rsid w:val="009E204F"/>
    <w:rsid w:val="009E30DA"/>
    <w:rsid w:val="009E40DA"/>
    <w:rsid w:val="009E4B92"/>
    <w:rsid w:val="009E4F23"/>
    <w:rsid w:val="009F076F"/>
    <w:rsid w:val="009F2C38"/>
    <w:rsid w:val="00A00A86"/>
    <w:rsid w:val="00A05387"/>
    <w:rsid w:val="00A06642"/>
    <w:rsid w:val="00A10612"/>
    <w:rsid w:val="00A110A4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86F76"/>
    <w:rsid w:val="00AA080C"/>
    <w:rsid w:val="00AA4BE7"/>
    <w:rsid w:val="00AA79BB"/>
    <w:rsid w:val="00AB2AEF"/>
    <w:rsid w:val="00AB4F29"/>
    <w:rsid w:val="00AC1E1D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3E00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A563A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26F88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0953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1634D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5FAF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B5560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13C3C5A"/>
    <w:rsid w:val="031F13BF"/>
    <w:rsid w:val="05BC498F"/>
    <w:rsid w:val="05D03F7E"/>
    <w:rsid w:val="062E067F"/>
    <w:rsid w:val="06D81011"/>
    <w:rsid w:val="09AB4FC4"/>
    <w:rsid w:val="0AEF7FAD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67C0B"/>
    <w:rsid w:val="1BD71918"/>
    <w:rsid w:val="1C1D2523"/>
    <w:rsid w:val="1CCC2A48"/>
    <w:rsid w:val="1EC5369B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6A0A7A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B318F4"/>
    <w:rsid w:val="4FD6553C"/>
    <w:rsid w:val="536A1D08"/>
    <w:rsid w:val="53CD0474"/>
    <w:rsid w:val="56100483"/>
    <w:rsid w:val="58536AB2"/>
    <w:rsid w:val="58F31BB9"/>
    <w:rsid w:val="5A623525"/>
    <w:rsid w:val="5C4123AE"/>
    <w:rsid w:val="5F473DA7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6997BB8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2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4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4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2"/>
    <w:semiHidden/>
    <w:unhideWhenUsed/>
    <w:qFormat/>
    <w:uiPriority w:val="0"/>
  </w:style>
  <w:style w:type="paragraph" w:styleId="8">
    <w:name w:val="Balloon Text"/>
    <w:basedOn w:val="1"/>
    <w:link w:val="30"/>
    <w:qFormat/>
    <w:uiPriority w:val="0"/>
    <w:rPr>
      <w:sz w:val="18"/>
      <w:szCs w:val="18"/>
    </w:rPr>
  </w:style>
  <w:style w:type="paragraph" w:styleId="9">
    <w:name w:val="footer"/>
    <w:basedOn w:val="1"/>
    <w:link w:val="29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ind w:left="0"/>
    </w:pPr>
  </w:style>
  <w:style w:type="paragraph" w:styleId="12">
    <w:name w:val="footnote text"/>
    <w:basedOn w:val="1"/>
    <w:link w:val="43"/>
    <w:unhideWhenUsed/>
    <w:qFormat/>
    <w:uiPriority w:val="0"/>
    <w:rPr>
      <w:sz w:val="18"/>
      <w:szCs w:val="18"/>
    </w:rPr>
  </w:style>
  <w:style w:type="paragraph" w:styleId="13">
    <w:name w:val="toc 2"/>
    <w:basedOn w:val="1"/>
    <w:next w:val="1"/>
    <w:unhideWhenUsed/>
    <w:qFormat/>
    <w:uiPriority w:val="39"/>
    <w:pPr>
      <w:ind w:left="200" w:leftChars="200"/>
    </w:p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5">
    <w:name w:val="Title"/>
    <w:basedOn w:val="1"/>
    <w:next w:val="1"/>
    <w:link w:val="33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6">
    <w:name w:val="annotation subject"/>
    <w:basedOn w:val="6"/>
    <w:next w:val="6"/>
    <w:link w:val="35"/>
    <w:semiHidden/>
    <w:unhideWhenUsed/>
    <w:qFormat/>
    <w:uiPriority w:val="0"/>
    <w:rPr>
      <w:b/>
      <w:bCs/>
    </w:rPr>
  </w:style>
  <w:style w:type="table" w:styleId="18">
    <w:name w:val="Table Grid"/>
    <w:basedOn w:val="1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0">
    <w:name w:val="Strong"/>
    <w:basedOn w:val="19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21">
    <w:name w:val="endnote reference"/>
    <w:basedOn w:val="19"/>
    <w:semiHidden/>
    <w:unhideWhenUsed/>
    <w:qFormat/>
    <w:uiPriority w:val="0"/>
    <w:rPr>
      <w:vertAlign w:val="superscript"/>
    </w:rPr>
  </w:style>
  <w:style w:type="character" w:styleId="22">
    <w:name w:val="FollowedHyperlink"/>
    <w:basedOn w:val="19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3">
    <w:name w:val="Emphasis"/>
    <w:basedOn w:val="19"/>
    <w:qFormat/>
    <w:uiPriority w:val="20"/>
    <w:rPr>
      <w:color w:val="CC0000"/>
    </w:rPr>
  </w:style>
  <w:style w:type="character" w:styleId="24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5">
    <w:name w:val="annotation reference"/>
    <w:basedOn w:val="19"/>
    <w:semiHidden/>
    <w:unhideWhenUsed/>
    <w:qFormat/>
    <w:uiPriority w:val="0"/>
    <w:rPr>
      <w:sz w:val="16"/>
      <w:szCs w:val="16"/>
    </w:rPr>
  </w:style>
  <w:style w:type="character" w:styleId="26">
    <w:name w:val="footnote reference"/>
    <w:basedOn w:val="19"/>
    <w:semiHidden/>
    <w:unhideWhenUsed/>
    <w:qFormat/>
    <w:uiPriority w:val="0"/>
    <w:rPr>
      <w:vertAlign w:val="superscript"/>
    </w:rPr>
  </w:style>
  <w:style w:type="paragraph" w:styleId="27">
    <w:name w:val="List Paragraph"/>
    <w:basedOn w:val="1"/>
    <w:qFormat/>
    <w:uiPriority w:val="34"/>
    <w:pPr>
      <w:ind w:left="200" w:hanging="200"/>
    </w:pPr>
  </w:style>
  <w:style w:type="character" w:customStyle="1" w:styleId="28">
    <w:name w:val="页眉 Char"/>
    <w:basedOn w:val="19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页脚 Char"/>
    <w:basedOn w:val="19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30">
    <w:name w:val="批注框文本 Char"/>
    <w:basedOn w:val="19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1">
    <w:name w:val="标题 1 Char"/>
    <w:basedOn w:val="19"/>
    <w:link w:val="2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2">
    <w:name w:val="标题 2 Char"/>
    <w:basedOn w:val="19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3">
    <w:name w:val="标题 Char"/>
    <w:basedOn w:val="19"/>
    <w:link w:val="15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4">
    <w:name w:val="批注文字 Char"/>
    <w:basedOn w:val="19"/>
    <w:link w:val="6"/>
    <w:qFormat/>
    <w:uiPriority w:val="0"/>
    <w:rPr>
      <w:rFonts w:ascii="宋体" w:hAnsi="宋体" w:eastAsia="宋体" w:cs="宋体"/>
    </w:rPr>
  </w:style>
  <w:style w:type="character" w:customStyle="1" w:styleId="35">
    <w:name w:val="批注主题 Char"/>
    <w:basedOn w:val="34"/>
    <w:link w:val="16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6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7">
    <w:name w:val="网格表 5 深色 - 着色 2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8">
    <w:name w:val="网格表 5 深色 - 着色 3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9">
    <w:name w:val="网格表 4 - 着色 21"/>
    <w:basedOn w:val="17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40">
    <w:name w:val="Revision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41">
    <w:name w:val="Unresolved Mention"/>
    <w:basedOn w:val="1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2">
    <w:name w:val="尾注文本 Char"/>
    <w:basedOn w:val="19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3">
    <w:name w:val="脚注文本 Char"/>
    <w:basedOn w:val="19"/>
    <w:link w:val="12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4">
    <w:name w:val="标题 3 Char"/>
    <w:basedOn w:val="19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  <w:style w:type="paragraph" w:customStyle="1" w:styleId="45">
    <w:name w:val="TOC Heading"/>
    <w:basedOn w:val="2"/>
    <w:next w:val="1"/>
    <w:unhideWhenUsed/>
    <w:qFormat/>
    <w:uiPriority w:val="39"/>
    <w:pPr>
      <w:numPr>
        <w:numId w:val="0"/>
      </w:numPr>
      <w:snapToGrid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endnotes" Target="endnotes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jpeg"/><Relationship Id="rId34" Type="http://schemas.openxmlformats.org/officeDocument/2006/relationships/image" Target="media/image24.png"/><Relationship Id="rId33" Type="http://schemas.openxmlformats.org/officeDocument/2006/relationships/image" Target="media/image23.jpeg"/><Relationship Id="rId32" Type="http://schemas.openxmlformats.org/officeDocument/2006/relationships/image" Target="media/image22.jpeg"/><Relationship Id="rId31" Type="http://schemas.openxmlformats.org/officeDocument/2006/relationships/image" Target="media/image21.png"/><Relationship Id="rId30" Type="http://schemas.openxmlformats.org/officeDocument/2006/relationships/image" Target="media/image20.jpeg"/><Relationship Id="rId3" Type="http://schemas.openxmlformats.org/officeDocument/2006/relationships/footnotes" Target="footnotes.xml"/><Relationship Id="rId29" Type="http://schemas.openxmlformats.org/officeDocument/2006/relationships/image" Target="media/image19.jpe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26C253C-7CD3-4619-B5AB-C89B18B529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3614</Words>
  <Characters>3911</Characters>
  <Lines>42</Lines>
  <Paragraphs>12</Paragraphs>
  <TotalTime>119</TotalTime>
  <ScaleCrop>false</ScaleCrop>
  <LinksUpToDate>false</LinksUpToDate>
  <CharactersWithSpaces>4074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2022-09-07T06:28:00Z</dcterms:created>
  <dc:creator>XR</dc:creator>
  <cp:lastModifiedBy>Administrator</cp:lastModifiedBy>
  <cp:lastPrinted>2022-07-06T08:15:00Z</cp:lastPrinted>
  <dcterms:modified xsi:type="dcterms:W3CDTF">2022-12-26T08:03:36Z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7444DA799A4F424F9225E4F49142AC9B</vt:lpwstr>
  </property>
</Properties>
</file>