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附件1</w:t>
      </w:r>
    </w:p>
    <w:p>
      <w:pPr>
        <w:keepNext w:val="0"/>
        <w:keepLines w:val="0"/>
        <w:widowControl/>
        <w:suppressLineNumbers w:val="0"/>
        <w:spacing w:before="50" w:beforeAutospacing="0" w:after="50" w:afterAutospacing="0"/>
        <w:ind w:left="0" w:right="0" w:firstLine="0"/>
        <w:jc w:val="center"/>
        <w:rPr>
          <w:rFonts w:hint="eastAsia" w:ascii="仿宋" w:hAnsi="仿宋" w:eastAsia="仿宋" w:cs="仿宋"/>
          <w:i w:val="0"/>
          <w:iCs w:val="0"/>
          <w:caps w:val="0"/>
          <w:color w:val="000000"/>
          <w:spacing w:val="0"/>
          <w:sz w:val="32"/>
          <w:szCs w:val="32"/>
        </w:rPr>
      </w:pPr>
      <w:bookmarkStart w:id="0" w:name="_GoBack"/>
      <w:r>
        <w:rPr>
          <w:rFonts w:hint="eastAsia" w:ascii="仿宋" w:hAnsi="仿宋" w:eastAsia="仿宋" w:cs="仿宋"/>
          <w:i w:val="0"/>
          <w:iCs w:val="0"/>
          <w:caps w:val="0"/>
          <w:color w:val="000000"/>
          <w:spacing w:val="0"/>
          <w:kern w:val="0"/>
          <w:sz w:val="32"/>
          <w:szCs w:val="32"/>
          <w:lang w:val="en-US" w:eastAsia="zh-CN" w:bidi="ar"/>
        </w:rPr>
        <w:t>青川县卫生健康局公开考调部分医疗卫生事业单位工作人员岗位条件一览表</w:t>
      </w:r>
    </w:p>
    <w:bookmarkEnd w:id="0"/>
    <w:p>
      <w:pPr>
        <w:keepNext w:val="0"/>
        <w:keepLines w:val="0"/>
        <w:widowControl/>
        <w:suppressLineNumbers w:val="0"/>
        <w:spacing w:before="50" w:beforeAutospacing="0" w:after="50" w:afterAutospacing="0"/>
        <w:ind w:left="0" w:right="0" w:firstLine="0"/>
        <w:jc w:val="both"/>
        <w:rPr>
          <w:rFonts w:hint="default" w:ascii="Tahoma" w:hAnsi="Tahoma" w:eastAsia="Tahoma" w:cs="Tahoma"/>
          <w:i w:val="0"/>
          <w:iCs w:val="0"/>
          <w:caps w:val="0"/>
          <w:color w:val="000000"/>
          <w:spacing w:val="0"/>
          <w:sz w:val="16"/>
          <w:szCs w:val="16"/>
        </w:rPr>
      </w:pPr>
    </w:p>
    <w:tbl>
      <w:tblPr>
        <w:tblW w:w="139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67"/>
        <w:gridCol w:w="2065"/>
        <w:gridCol w:w="1808"/>
        <w:gridCol w:w="588"/>
        <w:gridCol w:w="1040"/>
        <w:gridCol w:w="1718"/>
        <w:gridCol w:w="1612"/>
        <w:gridCol w:w="2296"/>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56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default" w:ascii="仿宋" w:hAnsi="仿宋" w:eastAsia="仿宋" w:cs="仿宋"/>
                <w:i w:val="0"/>
                <w:iCs w:val="0"/>
                <w:caps w:val="0"/>
                <w:color w:val="000000"/>
                <w:spacing w:val="0"/>
                <w:kern w:val="0"/>
                <w:sz w:val="32"/>
                <w:szCs w:val="32"/>
                <w:lang w:val="en-US" w:eastAsia="zh-CN" w:bidi="ar"/>
              </w:rPr>
              <w:t>主管部门</w:t>
            </w:r>
          </w:p>
        </w:tc>
        <w:tc>
          <w:tcPr>
            <w:tcW w:w="20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考调</w:t>
            </w:r>
            <w:r>
              <w:rPr>
                <w:rFonts w:hint="default" w:ascii="仿宋" w:hAnsi="仿宋" w:eastAsia="仿宋" w:cs="仿宋"/>
                <w:i w:val="0"/>
                <w:iCs w:val="0"/>
                <w:caps w:val="0"/>
                <w:color w:val="000000"/>
                <w:spacing w:val="0"/>
                <w:kern w:val="0"/>
                <w:sz w:val="32"/>
                <w:szCs w:val="32"/>
                <w:lang w:val="en-US" w:eastAsia="zh-CN" w:bidi="ar"/>
              </w:rPr>
              <w:t>单位</w:t>
            </w:r>
          </w:p>
        </w:tc>
        <w:tc>
          <w:tcPr>
            <w:tcW w:w="18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考调</w:t>
            </w:r>
          </w:p>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default" w:ascii="仿宋" w:hAnsi="仿宋" w:eastAsia="仿宋" w:cs="仿宋"/>
                <w:i w:val="0"/>
                <w:iCs w:val="0"/>
                <w:caps w:val="0"/>
                <w:color w:val="000000"/>
                <w:spacing w:val="0"/>
                <w:kern w:val="0"/>
                <w:sz w:val="32"/>
                <w:szCs w:val="32"/>
                <w:lang w:val="en-US" w:eastAsia="zh-CN" w:bidi="ar"/>
              </w:rPr>
              <w:t>岗位</w:t>
            </w:r>
          </w:p>
        </w:tc>
        <w:tc>
          <w:tcPr>
            <w:tcW w:w="5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考调</w:t>
            </w:r>
          </w:p>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default" w:ascii="仿宋" w:hAnsi="仿宋" w:eastAsia="仿宋" w:cs="仿宋"/>
                <w:i w:val="0"/>
                <w:iCs w:val="0"/>
                <w:caps w:val="0"/>
                <w:color w:val="000000"/>
                <w:spacing w:val="0"/>
                <w:kern w:val="0"/>
                <w:sz w:val="32"/>
                <w:szCs w:val="32"/>
                <w:lang w:val="en-US" w:eastAsia="zh-CN" w:bidi="ar"/>
              </w:rPr>
              <w:t>人数</w:t>
            </w:r>
          </w:p>
        </w:tc>
        <w:tc>
          <w:tcPr>
            <w:tcW w:w="10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default" w:ascii="仿宋" w:hAnsi="仿宋" w:eastAsia="仿宋" w:cs="仿宋"/>
                <w:i w:val="0"/>
                <w:iCs w:val="0"/>
                <w:caps w:val="0"/>
                <w:color w:val="000000"/>
                <w:spacing w:val="0"/>
                <w:kern w:val="0"/>
                <w:sz w:val="32"/>
                <w:szCs w:val="32"/>
                <w:lang w:val="en-US" w:eastAsia="zh-CN" w:bidi="ar"/>
              </w:rPr>
              <w:t>学历</w:t>
            </w:r>
          </w:p>
        </w:tc>
        <w:tc>
          <w:tcPr>
            <w:tcW w:w="171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default" w:ascii="仿宋" w:hAnsi="仿宋" w:eastAsia="仿宋" w:cs="仿宋"/>
                <w:i w:val="0"/>
                <w:iCs w:val="0"/>
                <w:caps w:val="0"/>
                <w:color w:val="000000"/>
                <w:spacing w:val="0"/>
                <w:kern w:val="0"/>
                <w:sz w:val="32"/>
                <w:szCs w:val="32"/>
                <w:lang w:val="en-US" w:eastAsia="zh-CN" w:bidi="ar"/>
              </w:rPr>
              <w:t>专业</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default" w:ascii="仿宋" w:hAnsi="仿宋" w:eastAsia="仿宋" w:cs="仿宋"/>
                <w:i w:val="0"/>
                <w:iCs w:val="0"/>
                <w:caps w:val="0"/>
                <w:color w:val="000000"/>
                <w:spacing w:val="0"/>
                <w:kern w:val="0"/>
                <w:sz w:val="32"/>
                <w:szCs w:val="32"/>
                <w:lang w:val="en-US" w:eastAsia="zh-CN" w:bidi="ar"/>
              </w:rPr>
              <w:t>年龄要求</w:t>
            </w:r>
          </w:p>
        </w:tc>
        <w:tc>
          <w:tcPr>
            <w:tcW w:w="229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default" w:ascii="仿宋" w:hAnsi="仿宋" w:eastAsia="仿宋" w:cs="仿宋"/>
                <w:i w:val="0"/>
                <w:iCs w:val="0"/>
                <w:caps w:val="0"/>
                <w:color w:val="000000"/>
                <w:spacing w:val="0"/>
                <w:kern w:val="0"/>
                <w:sz w:val="32"/>
                <w:szCs w:val="32"/>
                <w:lang w:val="en-US" w:eastAsia="zh-CN" w:bidi="ar"/>
              </w:rPr>
              <w:t>执（职）业资格</w:t>
            </w:r>
          </w:p>
        </w:tc>
        <w:tc>
          <w:tcPr>
            <w:tcW w:w="121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default" w:ascii="仿宋" w:hAnsi="仿宋" w:eastAsia="仿宋" w:cs="仿宋"/>
                <w:i w:val="0"/>
                <w:iCs w:val="0"/>
                <w:caps w:val="0"/>
                <w:color w:val="000000"/>
                <w:spacing w:val="0"/>
                <w:kern w:val="0"/>
                <w:sz w:val="32"/>
                <w:szCs w:val="32"/>
                <w:lang w:val="en-US" w:eastAsia="zh-CN" w:bidi="ar"/>
              </w:rPr>
              <w:t>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6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青川县卫生健康局</w:t>
            </w:r>
          </w:p>
        </w:tc>
        <w:tc>
          <w:tcPr>
            <w:tcW w:w="20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青川县疾病预防控制中心</w:t>
            </w:r>
          </w:p>
        </w:tc>
        <w:tc>
          <w:tcPr>
            <w:tcW w:w="18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专业技术</w:t>
            </w:r>
          </w:p>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（疾病预防控制）</w:t>
            </w:r>
          </w:p>
        </w:tc>
        <w:tc>
          <w:tcPr>
            <w:tcW w:w="5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1</w:t>
            </w:r>
          </w:p>
        </w:tc>
        <w:tc>
          <w:tcPr>
            <w:tcW w:w="10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本科及以上</w:t>
            </w:r>
          </w:p>
        </w:tc>
        <w:tc>
          <w:tcPr>
            <w:tcW w:w="171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预防医学/临床医学/针灸推拿学</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35周岁及以下</w:t>
            </w:r>
          </w:p>
        </w:tc>
        <w:tc>
          <w:tcPr>
            <w:tcW w:w="229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执业医师及以上资格</w:t>
            </w:r>
          </w:p>
        </w:tc>
        <w:tc>
          <w:tcPr>
            <w:tcW w:w="121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default" w:ascii="仿宋" w:hAnsi="仿宋" w:eastAsia="仿宋" w:cs="仿宋"/>
                <w:i w:val="0"/>
                <w:iCs w:val="0"/>
                <w:caps w:val="0"/>
                <w:color w:val="000000"/>
                <w:spacing w:val="0"/>
                <w:kern w:val="0"/>
                <w:sz w:val="32"/>
                <w:szCs w:val="32"/>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6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青川县卫生健康局</w:t>
            </w:r>
          </w:p>
        </w:tc>
        <w:tc>
          <w:tcPr>
            <w:tcW w:w="20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青川县妇幼保健院</w:t>
            </w:r>
          </w:p>
        </w:tc>
        <w:tc>
          <w:tcPr>
            <w:tcW w:w="18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专业技术</w:t>
            </w:r>
          </w:p>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（护理）</w:t>
            </w:r>
          </w:p>
        </w:tc>
        <w:tc>
          <w:tcPr>
            <w:tcW w:w="5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1</w:t>
            </w:r>
          </w:p>
        </w:tc>
        <w:tc>
          <w:tcPr>
            <w:tcW w:w="104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本科及以上</w:t>
            </w:r>
          </w:p>
        </w:tc>
        <w:tc>
          <w:tcPr>
            <w:tcW w:w="171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护理/护理学/高级护理/高等护理</w:t>
            </w:r>
          </w:p>
        </w:tc>
        <w:tc>
          <w:tcPr>
            <w:tcW w:w="16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35周岁及以下</w:t>
            </w:r>
          </w:p>
        </w:tc>
        <w:tc>
          <w:tcPr>
            <w:tcW w:w="229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护师及以上资格</w:t>
            </w:r>
          </w:p>
        </w:tc>
        <w:tc>
          <w:tcPr>
            <w:tcW w:w="1211"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50" w:beforeAutospacing="0" w:after="50" w:afterAutospacing="0"/>
              <w:ind w:left="0" w:right="0" w:firstLine="0"/>
              <w:jc w:val="both"/>
              <w:rPr>
                <w:rFonts w:hint="default" w:ascii="仿宋" w:hAnsi="仿宋" w:eastAsia="仿宋" w:cs="仿宋"/>
                <w:i w:val="0"/>
                <w:iCs w:val="0"/>
                <w:caps w:val="0"/>
                <w:color w:val="000000"/>
                <w:spacing w:val="0"/>
                <w:kern w:val="0"/>
                <w:sz w:val="32"/>
                <w:szCs w:val="32"/>
                <w:lang w:val="en-US" w:eastAsia="zh-CN" w:bidi="ar"/>
              </w:rPr>
            </w:pPr>
          </w:p>
        </w:tc>
      </w:tr>
    </w:tbl>
    <w:p>
      <w:pPr>
        <w:keepNext w:val="0"/>
        <w:keepLines w:val="0"/>
        <w:widowControl/>
        <w:suppressLineNumbers w:val="0"/>
        <w:spacing w:before="50" w:beforeAutospacing="0" w:after="50" w:afterAutospacing="0"/>
        <w:ind w:left="0" w:right="0" w:firstLine="0"/>
        <w:jc w:val="both"/>
        <w:rPr>
          <w:rFonts w:hint="default" w:ascii="仿宋" w:hAnsi="仿宋" w:eastAsia="仿宋" w:cs="仿宋"/>
          <w:i w:val="0"/>
          <w:iCs w:val="0"/>
          <w:caps w:val="0"/>
          <w:color w:val="000000"/>
          <w:spacing w:val="0"/>
          <w:kern w:val="0"/>
          <w:sz w:val="32"/>
          <w:szCs w:val="32"/>
          <w:lang w:val="en-US" w:eastAsia="zh-CN" w:bidi="ar"/>
        </w:rPr>
      </w:pPr>
    </w:p>
    <w:p>
      <w:pPr>
        <w:keepNext w:val="0"/>
        <w:keepLines w:val="0"/>
        <w:widowControl/>
        <w:suppressLineNumbers w:val="0"/>
        <w:spacing w:before="50" w:beforeAutospacing="0" w:after="50" w:afterAutospacing="0"/>
        <w:ind w:left="0" w:right="0" w:firstLine="0"/>
        <w:jc w:val="both"/>
        <w:rPr>
          <w:rFonts w:hint="default" w:ascii="仿宋" w:hAnsi="仿宋" w:eastAsia="仿宋" w:cs="仿宋"/>
          <w:i w:val="0"/>
          <w:iCs w:val="0"/>
          <w:caps w:val="0"/>
          <w:color w:val="000000"/>
          <w:spacing w:val="0"/>
          <w:kern w:val="0"/>
          <w:sz w:val="32"/>
          <w:szCs w:val="32"/>
          <w:lang w:val="en-US" w:eastAsia="zh-CN" w:bidi="ar"/>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itka Subheading">
    <w:panose1 w:val="02000505000000020004"/>
    <w:charset w:val="00"/>
    <w:family w:val="auto"/>
    <w:pitch w:val="default"/>
    <w:sig w:usb0="A00002EF" w:usb1="4000204B" w:usb2="00000000" w:usb3="00000000" w:csb0="2000019F" w:csb1="00000000"/>
  </w:font>
  <w:font w:name="Simplified Arabic Fixed">
    <w:panose1 w:val="02070309020205020404"/>
    <w:charset w:val="00"/>
    <w:family w:val="auto"/>
    <w:pitch w:val="default"/>
    <w:sig w:usb0="00002003" w:usb1="00000000" w:usb2="00000000" w:usb3="00000000" w:csb0="00000041" w:csb1="20080000"/>
  </w:font>
  <w:font w:name="Segoe UI Semilight">
    <w:panose1 w:val="020B0402040204020203"/>
    <w:charset w:val="00"/>
    <w:family w:val="auto"/>
    <w:pitch w:val="default"/>
    <w:sig w:usb0="E4002EFF" w:usb1="C000E47F" w:usb2="00000009" w:usb3="00000000" w:csb0="200001FF" w:csb1="00000000"/>
  </w:font>
  <w:font w:name="Segoe Script">
    <w:panose1 w:val="020B0504020000000003"/>
    <w:charset w:val="00"/>
    <w:family w:val="auto"/>
    <w:pitch w:val="default"/>
    <w:sig w:usb0="0000028F" w:usb1="00000000" w:usb2="00000000" w:usb3="00000000" w:csb0="0000009F" w:csb1="00000000"/>
  </w:font>
  <w:font w:name="Raavi">
    <w:panose1 w:val="020B0502040204020203"/>
    <w:charset w:val="00"/>
    <w:family w:val="auto"/>
    <w:pitch w:val="default"/>
    <w:sig w:usb0="00020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jNmVlNDAzM2IzNjQxNzg4N2FkMWJlNzkxNGM3MTUifQ=="/>
  </w:docVars>
  <w:rsids>
    <w:rsidRoot w:val="778E39E5"/>
    <w:rsid w:val="778E3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2022-12-19T07:08:00Z</dcterms:created>
  <dc:creator>金缕玉甲</dc:creator>
  <cp:lastModifiedBy>金缕玉甲</cp:lastModifiedBy>
  <dcterms:modified xsi:type="dcterms:W3CDTF">2022-12-19T07:10:07Z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D80FB15293C9494F8641C8FE66D2B335</vt:lpwstr>
  </property>
</Properties>
</file>