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contextualSpacing/>
        <w:jc w:val="center"/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  <w:t>深圳市南山区202</w:t>
      </w: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  <w:t>年博士选聘岗位表</w:t>
      </w:r>
    </w:p>
    <w:p>
      <w:pPr>
        <w:spacing w:line="560" w:lineRule="exact"/>
        <w:contextualSpacing/>
        <w:rPr>
          <w:rFonts w:ascii="方正小标宋简体" w:hAnsi="黑体" w:eastAsia="方正小标宋简体"/>
          <w:spacing w:val="11"/>
          <w:sz w:val="28"/>
          <w:szCs w:val="28"/>
        </w:rPr>
      </w:pPr>
    </w:p>
    <w:tbl>
      <w:tblPr>
        <w:tblStyle w:val="5"/>
        <w:tblW w:w="1445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3259"/>
        <w:gridCol w:w="5289"/>
        <w:gridCol w:w="1604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岗位及研究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重点实习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产业政策研究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南山区企业发展服务中心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产业经济学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pacing w:val="11"/>
                <w:kern w:val="0"/>
                <w:szCs w:val="21"/>
                <w:lang w:eastAsia="zh-CN"/>
              </w:rPr>
              <w:t>重点产业发展服务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南山区企业发展服务中心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生物工程，生物技术与工程，制药工程，药学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spacing w:val="1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人工智能与可视化研究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南山区智慧城市运营中心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计算机科学与技术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传染性疾病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预防与控制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南山区疾病预防控制中心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t>流行病与卫生统计学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  <w:t>城市园林绿化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  <w:t>规划建设及管理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南山区园林绿化管理所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风景园林学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区域经济与社会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发展研究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人口、资源与环境经济学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市场经济与现代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金融体系研究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世界经济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基层党建与社会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发展研究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社会学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</w:tbl>
    <w:p/>
    <w:sectPr>
      <w:pgSz w:w="16838" w:h="11906" w:orient="landscape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73C3D"/>
    <w:rsid w:val="1E6D194F"/>
    <w:rsid w:val="3EAB0813"/>
    <w:rsid w:val="50D07313"/>
    <w:rsid w:val="7FF7D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WPS_1653819447</cp:lastModifiedBy>
  <dcterms:modified xsi:type="dcterms:W3CDTF">2022-12-16T09:27:26Z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042818E93B914EA29724F74A846F0188</vt:lpwstr>
  </property>
</Properties>
</file>