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台州市发展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和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改革委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员会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2"/>
        <w:tblW w:w="0" w:type="auto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以本人为第一作者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撰写的综合文稿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或报刊上发表的署名文章附后）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000000"/>
        </w:rPr>
      </w:pPr>
    </w:p>
    <w:p>
      <w:pPr>
        <w:bidi w:val="0"/>
        <w:rPr>
          <w:rFonts w:hint="eastAsia"/>
          <w:color w:val="000000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color w:val="00000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ZGQyYWU1ODIyMmE2YTVkNmIxZTY3Y2U0NzQ4OTEifQ=="/>
  </w:docVars>
  <w:rsids>
    <w:rsidRoot w:val="00000000"/>
    <w:rsid w:val="62461955"/>
    <w:rsid w:val="66D76AFB"/>
    <w:rsid w:val="6CA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2022-01-07T00:37:00Z</dcterms:created>
  <dc:creator>Administrator</dc:creator>
  <cp:lastModifiedBy>邱晓峰</cp:lastModifiedBy>
  <dcterms:modified xsi:type="dcterms:W3CDTF">2022-11-28T11:43:29Z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F296A1CFA7D34126844B27052F93EC64</vt:lpwstr>
  </property>
</Properties>
</file>