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232" w:tblpY="1218"/>
        <w:tblOverlap w:val="never"/>
        <w:tblW w:w="9639" w:type="dxa"/>
        <w:tblBorders>
          <w:bottom w:val="thickThinLargeGap" w:sz="24" w:space="0" w:color="FF0000"/>
          <w:insideH w:val="thinThickLargeGap" w:sz="24" w:space="0" w:color="FF0000"/>
          <w:insideV w:val="thinThickLargeGap" w:sz="18" w:space="0" w:color="FF0000"/>
        </w:tblBorders>
        <w:tblLayout w:type="fixed"/>
        <w:tblLook w:val="04A0" w:firstRow="1" w:lastRow="0" w:firstColumn="1" w:lastColumn="0" w:noHBand="0" w:noVBand="1"/>
      </w:tblPr>
      <w:tblGrid>
        <w:gridCol w:w="9639"/>
      </w:tblGrid>
      <w:tr w:rsidR="00DC6436">
        <w:trPr>
          <w:trHeight w:hRule="exact" w:val="1021"/>
        </w:trPr>
        <w:tc>
          <w:tcPr>
            <w:tcW w:w="9639" w:type="dxa"/>
            <w:tcBorders>
              <w:top w:val="nil"/>
              <w:bottom w:val="thinThickMediumGap" w:sz="24" w:space="0" w:color="FF0000"/>
            </w:tcBorders>
          </w:tcPr>
          <w:p w:rsidR="00DC6436" w:rsidRDefault="00EA78EB">
            <w:pPr>
              <w:adjustRightInd w:val="0"/>
              <w:snapToGrid w:val="0"/>
              <w:spacing w:line="1000" w:lineRule="exact"/>
              <w:jc w:val="center"/>
              <w:rPr>
                <w:rFonts w:ascii="方正小标宋简体" w:eastAsia="方正小标宋简体" w:hAnsi="方正小标宋简体" w:cs="方正小标宋简体"/>
                <w:color w:val="FF0000"/>
                <w:w w:val="88"/>
                <w:position w:val="6"/>
                <w:sz w:val="70"/>
                <w:szCs w:val="70"/>
              </w:rPr>
            </w:pPr>
            <w:r w:rsidRPr="00EA78EB">
              <w:rPr>
                <w:rFonts w:ascii="方正小标宋简体" w:eastAsia="方正小标宋简体" w:hAnsi="方正小标宋简体" w:cs="方正小标宋简体" w:hint="eastAsia"/>
                <w:color w:val="FF0000"/>
                <w:spacing w:val="12"/>
                <w:w w:val="96"/>
                <w:kern w:val="0"/>
                <w:position w:val="6"/>
                <w:sz w:val="70"/>
                <w:szCs w:val="70"/>
                <w:fitText w:val="8750" w:id="941426414"/>
              </w:rPr>
              <w:t>青岛市人力资源和社会保障</w:t>
            </w:r>
            <w:r w:rsidRPr="00EA78EB">
              <w:rPr>
                <w:rFonts w:ascii="方正小标宋简体" w:eastAsia="方正小标宋简体" w:hAnsi="方正小标宋简体" w:cs="方正小标宋简体" w:hint="eastAsia"/>
                <w:color w:val="FF0000"/>
                <w:spacing w:val="18"/>
                <w:w w:val="96"/>
                <w:kern w:val="0"/>
                <w:position w:val="6"/>
                <w:sz w:val="70"/>
                <w:szCs w:val="70"/>
                <w:fitText w:val="8750" w:id="941426414"/>
              </w:rPr>
              <w:t>局</w:t>
            </w:r>
          </w:p>
        </w:tc>
      </w:tr>
    </w:tbl>
    <w:p w:rsidR="00DC6436" w:rsidRDefault="00DC6436">
      <w:pPr>
        <w:spacing w:line="560" w:lineRule="exact"/>
        <w:jc w:val="center"/>
        <w:rPr>
          <w:rFonts w:ascii="方正小标宋_GBK" w:eastAsia="方正小标宋_GBK" w:hAnsi="方正小标宋_GBK" w:cs="方正小标宋_GBK"/>
          <w:sz w:val="44"/>
          <w:szCs w:val="44"/>
        </w:rPr>
      </w:pPr>
    </w:p>
    <w:p w:rsidR="00DC6436" w:rsidRDefault="00EA78EB">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2022</w:t>
      </w:r>
      <w:r>
        <w:rPr>
          <w:rFonts w:ascii="方正小标宋_GBK" w:eastAsia="方正小标宋_GBK" w:hAnsi="方正小标宋_GBK" w:cs="方正小标宋_GBK" w:hint="eastAsia"/>
          <w:sz w:val="44"/>
          <w:szCs w:val="44"/>
        </w:rPr>
        <w:t>年青岛市市属事业单位</w:t>
      </w:r>
    </w:p>
    <w:p w:rsidR="00DC6436" w:rsidRDefault="00EA78EB">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公开遴选工作人员招聘笔试疫情防控告知书</w:t>
      </w:r>
    </w:p>
    <w:p w:rsidR="00DC6436" w:rsidRDefault="00DC6436">
      <w:pPr>
        <w:pStyle w:val="a7"/>
        <w:widowControl/>
        <w:spacing w:beforeAutospacing="0" w:afterAutospacing="0" w:line="560" w:lineRule="exact"/>
        <w:ind w:firstLineChars="200" w:firstLine="620"/>
        <w:rPr>
          <w:rFonts w:ascii="仿宋_GB2312" w:eastAsia="仿宋_GB2312" w:hAnsi="微软雅黑" w:cs="仿宋_GB2312"/>
          <w:color w:val="000000" w:themeColor="text1"/>
          <w:sz w:val="31"/>
          <w:szCs w:val="31"/>
        </w:rPr>
      </w:pPr>
    </w:p>
    <w:p w:rsidR="00DC6436" w:rsidRDefault="00EA78EB">
      <w:pPr>
        <w:pStyle w:val="a7"/>
        <w:widowControl/>
        <w:spacing w:beforeAutospacing="0" w:afterAutospacing="0" w:line="560" w:lineRule="exact"/>
        <w:ind w:firstLineChars="200" w:firstLine="640"/>
        <w:rPr>
          <w:color w:val="000000" w:themeColor="text1"/>
          <w:sz w:val="32"/>
          <w:szCs w:val="32"/>
        </w:rPr>
      </w:pPr>
      <w:r>
        <w:rPr>
          <w:rFonts w:ascii="仿宋_GB2312" w:eastAsia="仿宋_GB2312" w:hAnsi="微软雅黑" w:cs="仿宋_GB2312" w:hint="eastAsia"/>
          <w:color w:val="000000" w:themeColor="text1"/>
          <w:sz w:val="32"/>
          <w:szCs w:val="32"/>
        </w:rPr>
        <w:t>根据疫情防控工作需要，为确保广大考生身体健康，保障考试安全顺利进行，现将青岛市市属事业单位公开遴选工作人员招聘笔试疫情防控有关要求和注意事项告知如下，请所有考生知悉并严格执行各项考试防疫措施和要求。</w:t>
      </w:r>
    </w:p>
    <w:p w:rsidR="00DC6436" w:rsidRDefault="00EA78EB">
      <w:pPr>
        <w:pStyle w:val="a7"/>
        <w:widowControl/>
        <w:spacing w:beforeAutospacing="0" w:afterAutospacing="0" w:line="560" w:lineRule="exact"/>
        <w:ind w:firstLineChars="200" w:firstLine="640"/>
        <w:rPr>
          <w:rFonts w:ascii="黑体" w:eastAsia="黑体" w:hAnsi="宋体" w:cs="黑体"/>
          <w:color w:val="000000" w:themeColor="text1"/>
          <w:sz w:val="32"/>
          <w:szCs w:val="32"/>
        </w:rPr>
      </w:pPr>
      <w:r>
        <w:rPr>
          <w:rFonts w:ascii="黑体" w:eastAsia="黑体" w:hAnsi="宋体" w:cs="黑体" w:hint="eastAsia"/>
          <w:color w:val="000000" w:themeColor="text1"/>
          <w:sz w:val="32"/>
          <w:szCs w:val="32"/>
        </w:rPr>
        <w:t>一、考前防疫准备</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b/>
          <w:bCs/>
          <w:color w:val="000000" w:themeColor="text1"/>
          <w:sz w:val="32"/>
          <w:szCs w:val="32"/>
        </w:rPr>
      </w:pPr>
      <w:r>
        <w:rPr>
          <w:rFonts w:ascii="仿宋_GB2312" w:eastAsia="仿宋_GB2312" w:hAnsi="微软雅黑" w:cs="仿宋_GB2312" w:hint="eastAsia"/>
          <w:color w:val="000000" w:themeColor="text1"/>
          <w:sz w:val="32"/>
          <w:szCs w:val="32"/>
        </w:rPr>
        <w:t>（一）为确保顺利参考，请考生考前非必要不离开青岛市。尚在外地（省外、省内其他市）的考生应主动了解青岛市疫情防控相关要求，所有考生参加考试时须</w:t>
      </w:r>
      <w:r>
        <w:rPr>
          <w:rFonts w:ascii="仿宋_GB2312" w:eastAsia="仿宋_GB2312" w:hAnsi="微软雅黑" w:cs="仿宋_GB2312" w:hint="eastAsia"/>
          <w:b/>
          <w:bCs/>
          <w:color w:val="000000" w:themeColor="text1"/>
          <w:sz w:val="32"/>
          <w:szCs w:val="32"/>
        </w:rPr>
        <w:t>至少提前三天抵达青岛市</w:t>
      </w:r>
      <w:r>
        <w:rPr>
          <w:rFonts w:ascii="仿宋_GB2312" w:eastAsia="仿宋_GB2312" w:hAnsi="微软雅黑" w:cs="仿宋_GB2312" w:hint="eastAsia"/>
          <w:color w:val="000000" w:themeColor="text1"/>
          <w:sz w:val="32"/>
          <w:szCs w:val="32"/>
        </w:rPr>
        <w:t>（详细防疫政策请咨询考点所在地、居住地防疫部门），按要求做好各项疫情常态化防控措施，以免耽误考试。</w:t>
      </w:r>
      <w:r>
        <w:rPr>
          <w:rFonts w:ascii="仿宋_GB2312" w:eastAsia="仿宋_GB2312" w:hAnsi="微软雅黑" w:cs="仿宋_GB2312" w:hint="eastAsia"/>
          <w:color w:val="000000" w:themeColor="text1"/>
          <w:sz w:val="32"/>
          <w:szCs w:val="32"/>
        </w:rPr>
        <w:t>2022</w:t>
      </w:r>
      <w:r>
        <w:rPr>
          <w:rFonts w:ascii="仿宋_GB2312" w:eastAsia="仿宋_GB2312" w:hAnsi="微软雅黑" w:cs="仿宋_GB2312" w:hint="eastAsia"/>
          <w:color w:val="000000" w:themeColor="text1"/>
          <w:sz w:val="32"/>
          <w:szCs w:val="32"/>
        </w:rPr>
        <w:t>年</w:t>
      </w:r>
      <w:r>
        <w:rPr>
          <w:rFonts w:ascii="仿宋_GB2312" w:eastAsia="仿宋_GB2312" w:hAnsi="微软雅黑" w:cs="仿宋_GB2312" w:hint="eastAsia"/>
          <w:color w:val="000000" w:themeColor="text1"/>
          <w:sz w:val="32"/>
          <w:szCs w:val="32"/>
        </w:rPr>
        <w:t>11</w:t>
      </w:r>
      <w:r>
        <w:rPr>
          <w:rFonts w:ascii="仿宋_GB2312" w:eastAsia="仿宋_GB2312" w:hAnsi="微软雅黑" w:cs="仿宋_GB2312" w:hint="eastAsia"/>
          <w:color w:val="000000" w:themeColor="text1"/>
          <w:sz w:val="32"/>
          <w:szCs w:val="32"/>
        </w:rPr>
        <w:t>月</w:t>
      </w:r>
      <w:r>
        <w:rPr>
          <w:rFonts w:ascii="仿宋_GB2312" w:eastAsia="仿宋_GB2312" w:hAnsi="微软雅黑" w:cs="仿宋_GB2312" w:hint="eastAsia"/>
          <w:color w:val="000000" w:themeColor="text1"/>
          <w:sz w:val="32"/>
          <w:szCs w:val="32"/>
        </w:rPr>
        <w:t>30</w:t>
      </w:r>
      <w:r>
        <w:rPr>
          <w:rFonts w:ascii="仿宋_GB2312" w:eastAsia="仿宋_GB2312" w:hAnsi="微软雅黑" w:cs="仿宋_GB2312" w:hint="eastAsia"/>
          <w:color w:val="000000" w:themeColor="text1"/>
          <w:sz w:val="32"/>
          <w:szCs w:val="32"/>
        </w:rPr>
        <w:t>日零时起，青岛市启用</w:t>
      </w:r>
      <w:r>
        <w:rPr>
          <w:rFonts w:ascii="仿宋_GB2312" w:eastAsia="仿宋_GB2312" w:hAnsi="微软雅黑" w:cs="仿宋_GB2312" w:hint="eastAsia"/>
          <w:b/>
          <w:bCs/>
          <w:color w:val="000000" w:themeColor="text1"/>
          <w:sz w:val="32"/>
          <w:szCs w:val="32"/>
        </w:rPr>
        <w:t>“青岛市入青返青报备程序”</w:t>
      </w:r>
      <w:r>
        <w:rPr>
          <w:rFonts w:ascii="仿宋_GB2312" w:eastAsia="仿宋_GB2312" w:hAnsi="微软雅黑" w:cs="仿宋_GB2312" w:hint="eastAsia"/>
          <w:color w:val="000000" w:themeColor="text1"/>
          <w:sz w:val="32"/>
          <w:szCs w:val="32"/>
        </w:rPr>
        <w:t>，所有入青返青人员</w:t>
      </w:r>
      <w:proofErr w:type="gramStart"/>
      <w:r>
        <w:rPr>
          <w:rFonts w:ascii="仿宋_GB2312" w:eastAsia="仿宋_GB2312" w:hAnsi="微软雅黑" w:cs="仿宋_GB2312" w:hint="eastAsia"/>
          <w:color w:val="000000" w:themeColor="text1"/>
          <w:sz w:val="32"/>
          <w:szCs w:val="32"/>
        </w:rPr>
        <w:t>入青前均须</w:t>
      </w:r>
      <w:proofErr w:type="gramEnd"/>
      <w:r>
        <w:rPr>
          <w:rFonts w:ascii="仿宋_GB2312" w:eastAsia="仿宋_GB2312" w:hAnsi="微软雅黑" w:cs="仿宋_GB2312" w:hint="eastAsia"/>
          <w:color w:val="000000" w:themeColor="text1"/>
          <w:sz w:val="32"/>
          <w:szCs w:val="32"/>
        </w:rPr>
        <w:t>通过短信链接、支付宝、微信、爱山东、场所码等多入口进行自主报备，</w:t>
      </w:r>
      <w:r>
        <w:rPr>
          <w:rFonts w:ascii="仿宋_GB2312" w:eastAsia="仿宋_GB2312" w:hAnsi="微软雅黑" w:cs="仿宋_GB2312" w:hint="eastAsia"/>
          <w:b/>
          <w:bCs/>
          <w:color w:val="000000" w:themeColor="text1"/>
          <w:sz w:val="32"/>
          <w:szCs w:val="32"/>
        </w:rPr>
        <w:t>如实申报个人健康状况、旅居史等有关信息，入青返青后按照要求主动配合落实管控措施。</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入青返青人员</w:t>
      </w:r>
      <w:r>
        <w:rPr>
          <w:rFonts w:ascii="仿宋_GB2312" w:eastAsia="仿宋_GB2312" w:hAnsi="微软雅黑" w:cs="仿宋_GB2312" w:hint="eastAsia"/>
          <w:color w:val="000000" w:themeColor="text1"/>
          <w:sz w:val="32"/>
          <w:szCs w:val="32"/>
        </w:rPr>
        <w:t>应在抵青后尽快向所在居委会、村委会和单位</w:t>
      </w:r>
      <w:r>
        <w:rPr>
          <w:rFonts w:ascii="仿宋_GB2312" w:eastAsia="仿宋_GB2312" w:hAnsi="微软雅黑" w:cs="仿宋_GB2312" w:hint="eastAsia"/>
          <w:color w:val="000000" w:themeColor="text1"/>
          <w:sz w:val="32"/>
          <w:szCs w:val="32"/>
        </w:rPr>
        <w:t>(</w:t>
      </w:r>
      <w:r>
        <w:rPr>
          <w:rFonts w:ascii="仿宋_GB2312" w:eastAsia="仿宋_GB2312" w:hAnsi="微软雅黑" w:cs="仿宋_GB2312" w:hint="eastAsia"/>
          <w:color w:val="000000" w:themeColor="text1"/>
          <w:sz w:val="32"/>
          <w:szCs w:val="32"/>
        </w:rPr>
        <w:t>或所住宾馆</w:t>
      </w:r>
      <w:r>
        <w:rPr>
          <w:rFonts w:ascii="仿宋_GB2312" w:eastAsia="仿宋_GB2312" w:hAnsi="微软雅黑" w:cs="仿宋_GB2312" w:hint="eastAsia"/>
          <w:color w:val="000000" w:themeColor="text1"/>
          <w:sz w:val="32"/>
          <w:szCs w:val="32"/>
        </w:rPr>
        <w:t>)</w:t>
      </w:r>
      <w:r>
        <w:rPr>
          <w:rFonts w:ascii="仿宋_GB2312" w:eastAsia="仿宋_GB2312" w:hAnsi="微软雅黑" w:cs="仿宋_GB2312" w:hint="eastAsia"/>
          <w:color w:val="000000" w:themeColor="text1"/>
          <w:sz w:val="32"/>
          <w:szCs w:val="32"/>
        </w:rPr>
        <w:t>报告。</w:t>
      </w:r>
    </w:p>
    <w:tbl>
      <w:tblPr>
        <w:tblpPr w:leftFromText="180" w:rightFromText="180" w:vertAnchor="text" w:horzAnchor="page" w:tblpX="1225" w:tblpY="1037"/>
        <w:tblW w:w="9750" w:type="dxa"/>
        <w:tblBorders>
          <w:bottom w:val="thickThinMediumGap" w:sz="24" w:space="0" w:color="FF0000"/>
        </w:tblBorders>
        <w:tblLayout w:type="fixed"/>
        <w:tblLook w:val="04A0" w:firstRow="1" w:lastRow="0" w:firstColumn="1" w:lastColumn="0" w:noHBand="0" w:noVBand="1"/>
      </w:tblPr>
      <w:tblGrid>
        <w:gridCol w:w="9750"/>
      </w:tblGrid>
      <w:tr w:rsidR="00DC6436">
        <w:trPr>
          <w:trHeight w:hRule="exact" w:val="86"/>
        </w:trPr>
        <w:tc>
          <w:tcPr>
            <w:tcW w:w="9750" w:type="dxa"/>
            <w:tcBorders>
              <w:bottom w:val="thickThinMediumGap" w:sz="24" w:space="0" w:color="FF0000"/>
            </w:tcBorders>
          </w:tcPr>
          <w:p w:rsidR="00DC6436" w:rsidRDefault="00DC6436">
            <w:pPr>
              <w:adjustRightInd w:val="0"/>
              <w:snapToGrid w:val="0"/>
              <w:spacing w:line="520" w:lineRule="exact"/>
              <w:jc w:val="center"/>
              <w:rPr>
                <w:rFonts w:ascii="方正小标宋简体" w:eastAsia="方正小标宋简体"/>
                <w:color w:val="000000" w:themeColor="text1"/>
                <w:w w:val="90"/>
                <w:sz w:val="32"/>
                <w:szCs w:val="32"/>
              </w:rPr>
            </w:pPr>
          </w:p>
        </w:tc>
      </w:tr>
    </w:tbl>
    <w:p w:rsidR="00DC6436" w:rsidRDefault="00EA78EB">
      <w:pPr>
        <w:pStyle w:val="a7"/>
        <w:widowControl/>
        <w:spacing w:beforeAutospacing="0" w:afterAutospacing="0" w:line="560" w:lineRule="exact"/>
        <w:ind w:firstLineChars="200" w:firstLine="640"/>
        <w:rPr>
          <w:rFonts w:ascii="仿宋_GB2312" w:eastAsia="仿宋_GB2312" w:hAnsi="微软雅黑" w:cs="仿宋_GB2312"/>
          <w:b/>
          <w:bCs/>
          <w:color w:val="000000" w:themeColor="text1"/>
          <w:sz w:val="32"/>
          <w:szCs w:val="32"/>
        </w:rPr>
      </w:pPr>
      <w:r>
        <w:rPr>
          <w:rFonts w:ascii="仿宋_GB2312" w:eastAsia="仿宋_GB2312" w:hAnsi="微软雅黑" w:cs="仿宋_GB2312" w:hint="eastAsia"/>
          <w:color w:val="000000" w:themeColor="text1"/>
          <w:sz w:val="32"/>
          <w:szCs w:val="32"/>
        </w:rPr>
        <w:t>未及时报备、故意隐瞒及不配合落实防控措施导致疫情传播</w:t>
      </w:r>
      <w:r>
        <w:rPr>
          <w:rFonts w:ascii="仿宋_GB2312" w:eastAsia="仿宋_GB2312" w:hAnsi="微软雅黑" w:cs="仿宋_GB2312" w:hint="eastAsia"/>
          <w:color w:val="000000" w:themeColor="text1"/>
          <w:sz w:val="32"/>
          <w:szCs w:val="32"/>
        </w:rPr>
        <w:lastRenderedPageBreak/>
        <w:t>扩散的来青返青人员，</w:t>
      </w:r>
      <w:r>
        <w:rPr>
          <w:rFonts w:ascii="仿宋_GB2312" w:eastAsia="仿宋_GB2312" w:hAnsi="微软雅黑" w:cs="仿宋_GB2312" w:hint="eastAsia"/>
          <w:b/>
          <w:bCs/>
          <w:color w:val="000000" w:themeColor="text1"/>
          <w:sz w:val="32"/>
          <w:szCs w:val="32"/>
        </w:rPr>
        <w:t>将承担相应法律责任。</w:t>
      </w:r>
    </w:p>
    <w:p w:rsidR="00DC6436" w:rsidRDefault="00EA78EB">
      <w:pPr>
        <w:pStyle w:val="a7"/>
        <w:widowControl/>
        <w:spacing w:beforeAutospacing="0" w:afterAutospacing="0" w:line="560" w:lineRule="exact"/>
        <w:ind w:firstLineChars="200" w:firstLine="640"/>
        <w:rPr>
          <w:color w:val="000000" w:themeColor="text1"/>
          <w:sz w:val="32"/>
          <w:szCs w:val="32"/>
        </w:rPr>
      </w:pPr>
      <w:r>
        <w:rPr>
          <w:rFonts w:ascii="仿宋_GB2312" w:eastAsia="仿宋_GB2312" w:hAnsi="微软雅黑" w:cs="仿宋_GB2312" w:hint="eastAsia"/>
          <w:color w:val="000000" w:themeColor="text1"/>
          <w:sz w:val="32"/>
          <w:szCs w:val="32"/>
        </w:rPr>
        <w:t>（二）提前申领“山东省电子健康通行码”。</w:t>
      </w:r>
    </w:p>
    <w:p w:rsidR="00DC6436" w:rsidRDefault="00EA78EB">
      <w:pPr>
        <w:tabs>
          <w:tab w:val="left" w:pos="5388"/>
        </w:tabs>
        <w:spacing w:line="560" w:lineRule="exact"/>
        <w:ind w:rightChars="-33" w:right="-69" w:firstLineChars="200" w:firstLine="640"/>
        <w:rPr>
          <w:rFonts w:ascii="仿宋_GB2312" w:eastAsia="仿宋_GB2312" w:hAnsi="微软雅黑" w:cs="仿宋_GB2312"/>
          <w:color w:val="000000" w:themeColor="text1"/>
          <w:kern w:val="0"/>
          <w:sz w:val="32"/>
          <w:szCs w:val="32"/>
        </w:rPr>
      </w:pPr>
      <w:r>
        <w:rPr>
          <w:rFonts w:ascii="仿宋_GB2312" w:eastAsia="仿宋_GB2312" w:hAnsi="微软雅黑" w:cs="仿宋_GB2312" w:hint="eastAsia"/>
          <w:color w:val="000000" w:themeColor="text1"/>
          <w:kern w:val="0"/>
          <w:sz w:val="32"/>
          <w:szCs w:val="32"/>
        </w:rPr>
        <w:t>（三）</w:t>
      </w:r>
      <w:r>
        <w:rPr>
          <w:rFonts w:ascii="仿宋_GB2312" w:eastAsia="仿宋_GB2312" w:hAnsi="微软雅黑" w:cs="仿宋_GB2312" w:hint="eastAsia"/>
          <w:b/>
          <w:bCs/>
          <w:color w:val="000000" w:themeColor="text1"/>
          <w:kern w:val="0"/>
          <w:sz w:val="32"/>
          <w:szCs w:val="32"/>
        </w:rPr>
        <w:t>所有考生</w:t>
      </w:r>
      <w:r>
        <w:rPr>
          <w:rFonts w:ascii="仿宋_GB2312" w:eastAsia="仿宋_GB2312" w:hAnsi="微软雅黑" w:cs="仿宋_GB2312" w:hint="eastAsia"/>
          <w:color w:val="000000" w:themeColor="text1"/>
          <w:kern w:val="0"/>
          <w:sz w:val="32"/>
          <w:szCs w:val="32"/>
        </w:rPr>
        <w:t>参加考试时提供在青岛市考前连续三天核酸检测阴性证明；</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（四）请考生考试前保持手机畅通，及时接收考试通知信息（手机号码须与报名登记的信息一致）。</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注意事项：</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1.</w:t>
      </w:r>
      <w:r>
        <w:rPr>
          <w:rFonts w:ascii="仿宋_GB2312" w:eastAsia="仿宋_GB2312" w:hAnsi="微软雅黑" w:cs="仿宋_GB2312" w:hint="eastAsia"/>
          <w:color w:val="000000" w:themeColor="text1"/>
          <w:sz w:val="32"/>
          <w:szCs w:val="32"/>
        </w:rPr>
        <w:t>核酸检测阴性证明通过“山东省电子健康通行码”中的“核酸检测信息”展示即可。</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2.</w:t>
      </w:r>
      <w:proofErr w:type="gramStart"/>
      <w:r>
        <w:rPr>
          <w:rFonts w:ascii="仿宋_GB2312" w:eastAsia="仿宋_GB2312" w:hAnsi="微软雅黑" w:cs="仿宋_GB2312" w:hint="eastAsia"/>
          <w:color w:val="000000" w:themeColor="text1"/>
          <w:sz w:val="32"/>
          <w:szCs w:val="32"/>
        </w:rPr>
        <w:t>请合理</w:t>
      </w:r>
      <w:proofErr w:type="gramEnd"/>
      <w:r>
        <w:rPr>
          <w:rFonts w:ascii="仿宋_GB2312" w:eastAsia="仿宋_GB2312" w:hAnsi="微软雅黑" w:cs="仿宋_GB2312" w:hint="eastAsia"/>
          <w:color w:val="000000" w:themeColor="text1"/>
          <w:sz w:val="32"/>
          <w:szCs w:val="32"/>
        </w:rPr>
        <w:t>安排核酸检测时间，确保提供的核酸检测阴性证明显示考前连续三天核酸检测阴性结果。</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3.</w:t>
      </w:r>
      <w:r>
        <w:rPr>
          <w:rFonts w:ascii="仿宋_GB2312" w:eastAsia="仿宋_GB2312" w:hAnsi="微软雅黑" w:cs="仿宋_GB2312" w:hint="eastAsia"/>
          <w:color w:val="000000" w:themeColor="text1"/>
          <w:sz w:val="32"/>
          <w:szCs w:val="32"/>
        </w:rPr>
        <w:t>未按要求提供核酸检测阴性证明等健康证明的不得入场。</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（五）所有考生应遵守青岛市疫情防控管理要求，按要求登录青岛市人力资源和社会保障局网站，人事考试栏目报备。</w:t>
      </w:r>
    </w:p>
    <w:p w:rsidR="00DC6436" w:rsidRDefault="00EA78EB">
      <w:pPr>
        <w:pStyle w:val="a7"/>
        <w:widowControl/>
        <w:spacing w:beforeAutospacing="0" w:afterAutospacing="0" w:line="560" w:lineRule="exact"/>
        <w:ind w:firstLineChars="200" w:firstLine="640"/>
        <w:rPr>
          <w:rFonts w:ascii="黑体" w:eastAsia="黑体" w:hAnsi="宋体" w:cs="黑体"/>
          <w:color w:val="000000" w:themeColor="text1"/>
          <w:sz w:val="32"/>
          <w:szCs w:val="32"/>
        </w:rPr>
      </w:pPr>
      <w:r>
        <w:rPr>
          <w:rFonts w:ascii="黑体" w:eastAsia="黑体" w:hAnsi="宋体" w:cs="黑体" w:hint="eastAsia"/>
          <w:color w:val="000000" w:themeColor="text1"/>
          <w:sz w:val="32"/>
          <w:szCs w:val="32"/>
        </w:rPr>
        <w:t>二、特殊情形考生管理要求</w:t>
      </w:r>
    </w:p>
    <w:p w:rsidR="00DC6436" w:rsidRDefault="00EA78EB">
      <w:pPr>
        <w:pStyle w:val="a7"/>
        <w:widowControl/>
        <w:spacing w:beforeAutospacing="0" w:afterAutospacing="0" w:line="560" w:lineRule="exact"/>
        <w:ind w:firstLineChars="200" w:firstLine="640"/>
      </w:pPr>
      <w:r>
        <w:rPr>
          <w:rFonts w:ascii="仿宋_GB2312" w:eastAsia="仿宋_GB2312" w:hAnsi="微软雅黑" w:cs="仿宋_GB2312" w:hint="eastAsia"/>
          <w:color w:val="000000" w:themeColor="text1"/>
          <w:sz w:val="32"/>
          <w:szCs w:val="32"/>
        </w:rPr>
        <w:t>（一）来自高风险地区的考生和自省外</w:t>
      </w:r>
      <w:proofErr w:type="gramStart"/>
      <w:r>
        <w:rPr>
          <w:rFonts w:ascii="仿宋_GB2312" w:eastAsia="仿宋_GB2312" w:hAnsi="微软雅黑" w:cs="仿宋_GB2312" w:hint="eastAsia"/>
          <w:color w:val="000000" w:themeColor="text1"/>
          <w:sz w:val="32"/>
          <w:szCs w:val="32"/>
        </w:rPr>
        <w:t>入鲁返鲁</w:t>
      </w:r>
      <w:proofErr w:type="gramEnd"/>
      <w:r>
        <w:rPr>
          <w:rFonts w:ascii="仿宋_GB2312" w:eastAsia="仿宋_GB2312" w:hAnsi="微软雅黑" w:cs="仿宋_GB2312" w:hint="eastAsia"/>
          <w:color w:val="000000" w:themeColor="text1"/>
          <w:sz w:val="32"/>
          <w:szCs w:val="32"/>
        </w:rPr>
        <w:t>考生，应提前向</w:t>
      </w:r>
      <w:r>
        <w:rPr>
          <w:rFonts w:ascii="仿宋_GB2312" w:eastAsia="仿宋_GB2312" w:hAnsi="微软雅黑" w:cs="仿宋_GB2312" w:hint="eastAsia"/>
          <w:color w:val="000000" w:themeColor="text1"/>
          <w:sz w:val="32"/>
          <w:szCs w:val="32"/>
        </w:rPr>
        <w:t>青岛市人事考试中心</w:t>
      </w:r>
      <w:r>
        <w:rPr>
          <w:rFonts w:ascii="仿宋_GB2312" w:eastAsia="仿宋_GB2312" w:hAnsi="微软雅黑" w:cs="仿宋_GB2312" w:hint="eastAsia"/>
          <w:color w:val="000000" w:themeColor="text1"/>
          <w:sz w:val="32"/>
          <w:szCs w:val="32"/>
        </w:rPr>
        <w:t>和考试所在地</w:t>
      </w:r>
      <w:r>
        <w:rPr>
          <w:rFonts w:ascii="仿宋_GB2312" w:eastAsia="仿宋_GB2312" w:hAnsi="微软雅黑" w:cs="仿宋_GB2312" w:hint="eastAsia"/>
          <w:color w:val="000000" w:themeColor="text1"/>
          <w:sz w:val="32"/>
          <w:szCs w:val="32"/>
        </w:rPr>
        <w:t>、居住地</w:t>
      </w:r>
      <w:r>
        <w:rPr>
          <w:rFonts w:ascii="仿宋_GB2312" w:eastAsia="仿宋_GB2312" w:hAnsi="微软雅黑" w:cs="仿宋_GB2312" w:hint="eastAsia"/>
          <w:color w:val="000000" w:themeColor="text1"/>
          <w:sz w:val="32"/>
          <w:szCs w:val="32"/>
        </w:rPr>
        <w:t>社区报备，在按照社区要求完成各项疫情防控措施后，再持考前连续三天核酸检测阴性证明参加考试，并于途中注意做好个人防护。</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（二）考前</w:t>
      </w:r>
      <w:r>
        <w:rPr>
          <w:rFonts w:ascii="仿宋_GB2312" w:eastAsia="仿宋_GB2312" w:hAnsi="微软雅黑" w:cs="仿宋_GB2312" w:hint="eastAsia"/>
          <w:color w:val="000000" w:themeColor="text1"/>
          <w:sz w:val="32"/>
          <w:szCs w:val="32"/>
        </w:rPr>
        <w:t>7</w:t>
      </w:r>
      <w:r>
        <w:rPr>
          <w:rFonts w:ascii="仿宋_GB2312" w:eastAsia="仿宋_GB2312" w:hAnsi="微软雅黑" w:cs="仿宋_GB2312" w:hint="eastAsia"/>
          <w:color w:val="000000" w:themeColor="text1"/>
          <w:sz w:val="32"/>
          <w:szCs w:val="32"/>
        </w:rPr>
        <w:t>天有发热、咳嗽等症状的，须提供医疗机构出具的诊断证明和考前连续三天核酸检测阴性证明，并在隔离考场考试。</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lastRenderedPageBreak/>
        <w:t>（三）治愈出院的确诊病例和无症状感染者，在提供考前连续三天核酸检测阴性证明基础上，还</w:t>
      </w:r>
      <w:proofErr w:type="gramStart"/>
      <w:r>
        <w:rPr>
          <w:rFonts w:ascii="仿宋_GB2312" w:eastAsia="仿宋_GB2312" w:hAnsi="微软雅黑" w:cs="仿宋_GB2312" w:hint="eastAsia"/>
          <w:color w:val="000000" w:themeColor="text1"/>
          <w:sz w:val="32"/>
          <w:szCs w:val="32"/>
        </w:rPr>
        <w:t>应持考前</w:t>
      </w:r>
      <w:r>
        <w:rPr>
          <w:rFonts w:ascii="仿宋_GB2312" w:eastAsia="仿宋_GB2312" w:hAnsi="微软雅黑" w:cs="仿宋_GB2312" w:hint="eastAsia"/>
          <w:color w:val="000000" w:themeColor="text1"/>
          <w:sz w:val="32"/>
          <w:szCs w:val="32"/>
        </w:rPr>
        <w:t>7</w:t>
      </w:r>
      <w:r>
        <w:rPr>
          <w:rFonts w:ascii="仿宋_GB2312" w:eastAsia="仿宋_GB2312" w:hAnsi="微软雅黑" w:cs="仿宋_GB2312" w:hint="eastAsia"/>
          <w:color w:val="000000" w:themeColor="text1"/>
          <w:sz w:val="32"/>
          <w:szCs w:val="32"/>
        </w:rPr>
        <w:t>天内</w:t>
      </w:r>
      <w:proofErr w:type="gramEnd"/>
      <w:r>
        <w:rPr>
          <w:rFonts w:ascii="仿宋_GB2312" w:eastAsia="仿宋_GB2312" w:hAnsi="微软雅黑" w:cs="仿宋_GB2312" w:hint="eastAsia"/>
          <w:color w:val="000000" w:themeColor="text1"/>
          <w:sz w:val="32"/>
          <w:szCs w:val="32"/>
        </w:rPr>
        <w:t>的健康体检报告，体检正常、肺部影像学显示肺部病灶完全吸收的可以参加考试。</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（四）属于以下情形的考生，不得参加考试：</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1.</w:t>
      </w:r>
      <w:r>
        <w:rPr>
          <w:rFonts w:ascii="仿宋_GB2312" w:eastAsia="仿宋_GB2312" w:hAnsi="微软雅黑" w:cs="仿宋_GB2312" w:hint="eastAsia"/>
          <w:color w:val="000000" w:themeColor="text1"/>
          <w:sz w:val="32"/>
          <w:szCs w:val="32"/>
        </w:rPr>
        <w:t>确诊病例、疑似病例、无症状感染者和尚在隔离观察期的密切接触者；</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2.</w:t>
      </w:r>
      <w:r>
        <w:rPr>
          <w:rFonts w:ascii="仿宋_GB2312" w:eastAsia="仿宋_GB2312" w:hAnsi="微软雅黑" w:cs="仿宋_GB2312" w:hint="eastAsia"/>
          <w:color w:val="000000" w:themeColor="text1"/>
          <w:sz w:val="32"/>
          <w:szCs w:val="32"/>
        </w:rPr>
        <w:t>开考前</w:t>
      </w:r>
      <w:r>
        <w:rPr>
          <w:rFonts w:ascii="仿宋_GB2312" w:eastAsia="仿宋_GB2312" w:hAnsi="微软雅黑" w:cs="仿宋_GB2312" w:hint="eastAsia"/>
          <w:color w:val="000000" w:themeColor="text1"/>
          <w:sz w:val="32"/>
          <w:szCs w:val="32"/>
        </w:rPr>
        <w:t>7</w:t>
      </w:r>
      <w:r>
        <w:rPr>
          <w:rFonts w:ascii="仿宋_GB2312" w:eastAsia="仿宋_GB2312" w:hAnsi="微软雅黑" w:cs="仿宋_GB2312" w:hint="eastAsia"/>
          <w:color w:val="000000" w:themeColor="text1"/>
          <w:sz w:val="32"/>
          <w:szCs w:val="32"/>
        </w:rPr>
        <w:t>天有发热、咳嗽等症状未痊愈且未排除传染病及身体不适者；</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3.</w:t>
      </w:r>
      <w:r>
        <w:rPr>
          <w:rFonts w:ascii="仿宋_GB2312" w:eastAsia="仿宋_GB2312" w:hAnsi="微软雅黑" w:cs="仿宋_GB2312" w:hint="eastAsia"/>
          <w:color w:val="000000" w:themeColor="text1"/>
          <w:sz w:val="32"/>
          <w:szCs w:val="32"/>
        </w:rPr>
        <w:t>有高风险区旅居史的人员（即高风险区外溢人员）且尚处于集中隔离或居家隔离的人员；</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4.</w:t>
      </w:r>
      <w:r>
        <w:rPr>
          <w:rFonts w:ascii="仿宋_GB2312" w:eastAsia="仿宋_GB2312" w:hAnsi="微软雅黑" w:cs="仿宋_GB2312" w:hint="eastAsia"/>
          <w:color w:val="000000" w:themeColor="text1"/>
          <w:sz w:val="32"/>
          <w:szCs w:val="32"/>
        </w:rPr>
        <w:t>有境外旅居史且入境未满</w:t>
      </w:r>
      <w:r>
        <w:rPr>
          <w:rFonts w:ascii="仿宋_GB2312" w:eastAsia="仿宋_GB2312" w:hAnsi="微软雅黑" w:cs="仿宋_GB2312" w:hint="eastAsia"/>
          <w:color w:val="000000" w:themeColor="text1"/>
          <w:sz w:val="32"/>
          <w:szCs w:val="32"/>
        </w:rPr>
        <w:t>8</w:t>
      </w:r>
      <w:r>
        <w:rPr>
          <w:rFonts w:ascii="仿宋_GB2312" w:eastAsia="仿宋_GB2312" w:hAnsi="微软雅黑" w:cs="仿宋_GB2312" w:hint="eastAsia"/>
          <w:color w:val="000000" w:themeColor="text1"/>
          <w:sz w:val="32"/>
          <w:szCs w:val="32"/>
        </w:rPr>
        <w:t>天者；</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5.</w:t>
      </w:r>
      <w:r>
        <w:rPr>
          <w:rFonts w:ascii="仿宋_GB2312" w:eastAsia="仿宋_GB2312" w:hAnsi="微软雅黑" w:cs="仿宋_GB2312" w:hint="eastAsia"/>
          <w:color w:val="000000" w:themeColor="text1"/>
          <w:sz w:val="32"/>
          <w:szCs w:val="32"/>
        </w:rPr>
        <w:t>不能按要求提供核酸检测阴性证明等健康证明的。</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三、考试当天有关要求</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（一）考生经现场检测体温正常（未超过</w:t>
      </w:r>
      <w:r>
        <w:rPr>
          <w:rFonts w:ascii="仿宋_GB2312" w:eastAsia="仿宋_GB2312" w:hAnsi="微软雅黑" w:cs="仿宋_GB2312" w:hint="eastAsia"/>
          <w:color w:val="000000" w:themeColor="text1"/>
          <w:sz w:val="32"/>
          <w:szCs w:val="32"/>
        </w:rPr>
        <w:t>37.3</w:t>
      </w:r>
      <w:r>
        <w:rPr>
          <w:rFonts w:ascii="仿宋_GB2312" w:eastAsia="仿宋_GB2312" w:hAnsi="微软雅黑" w:cs="仿宋_GB2312" w:hint="eastAsia"/>
          <w:color w:val="000000" w:themeColor="text1"/>
          <w:sz w:val="32"/>
          <w:szCs w:val="32"/>
        </w:rPr>
        <w:t>℃），携带准考证、有效居民身份证，扫描考点场所码，出示山东省电子健康通行</w:t>
      </w:r>
      <w:proofErr w:type="gramStart"/>
      <w:r>
        <w:rPr>
          <w:rFonts w:ascii="仿宋_GB2312" w:eastAsia="仿宋_GB2312" w:hAnsi="微软雅黑" w:cs="仿宋_GB2312" w:hint="eastAsia"/>
          <w:color w:val="000000" w:themeColor="text1"/>
          <w:sz w:val="32"/>
          <w:szCs w:val="32"/>
        </w:rPr>
        <w:t>码绿码</w:t>
      </w:r>
      <w:proofErr w:type="gramEnd"/>
      <w:r>
        <w:rPr>
          <w:rFonts w:ascii="仿宋_GB2312" w:eastAsia="仿宋_GB2312" w:hAnsi="微软雅黑" w:cs="仿宋_GB2312" w:hint="eastAsia"/>
          <w:color w:val="000000" w:themeColor="text1"/>
          <w:sz w:val="32"/>
          <w:szCs w:val="32"/>
        </w:rPr>
        <w:t>、考前连续三天核酸检测阴性证明</w:t>
      </w:r>
      <w:r>
        <w:rPr>
          <w:rFonts w:ascii="仿宋_GB2312" w:eastAsia="仿宋_GB2312" w:hAnsi="微软雅黑" w:cs="仿宋_GB2312" w:hint="eastAsia"/>
          <w:color w:val="000000" w:themeColor="text1"/>
          <w:sz w:val="32"/>
          <w:szCs w:val="32"/>
        </w:rPr>
        <w:t>（</w:t>
      </w:r>
      <w:r>
        <w:rPr>
          <w:rFonts w:ascii="仿宋_GB2312" w:eastAsia="仿宋_GB2312" w:hAnsi="微软雅黑" w:cs="仿宋_GB2312" w:hint="eastAsia"/>
          <w:color w:val="000000" w:themeColor="text1"/>
          <w:sz w:val="32"/>
          <w:szCs w:val="32"/>
        </w:rPr>
        <w:t>电子版、纸质版均可</w:t>
      </w:r>
      <w:r>
        <w:rPr>
          <w:rFonts w:ascii="仿宋_GB2312" w:eastAsia="仿宋_GB2312" w:hAnsi="微软雅黑" w:cs="仿宋_GB2312" w:hint="eastAsia"/>
          <w:color w:val="000000" w:themeColor="text1"/>
          <w:sz w:val="32"/>
          <w:szCs w:val="32"/>
        </w:rPr>
        <w:t>）</w:t>
      </w:r>
      <w:r>
        <w:rPr>
          <w:rFonts w:ascii="仿宋_GB2312" w:eastAsia="仿宋_GB2312" w:hAnsi="微软雅黑" w:cs="仿宋_GB2312" w:hint="eastAsia"/>
          <w:color w:val="000000" w:themeColor="text1"/>
          <w:sz w:val="32"/>
          <w:szCs w:val="32"/>
        </w:rPr>
        <w:t>，方可参加考试。</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（二）因考前防疫检查需要，请考生预留充足入场时间，建议至少提前</w:t>
      </w:r>
      <w:r>
        <w:rPr>
          <w:rFonts w:ascii="仿宋_GB2312" w:eastAsia="仿宋_GB2312" w:hAnsi="微软雅黑" w:cs="仿宋_GB2312" w:hint="eastAsia"/>
          <w:color w:val="000000" w:themeColor="text1"/>
          <w:sz w:val="32"/>
          <w:szCs w:val="32"/>
        </w:rPr>
        <w:t>1</w:t>
      </w:r>
      <w:r>
        <w:rPr>
          <w:rFonts w:ascii="仿宋_GB2312" w:eastAsia="仿宋_GB2312" w:hAnsi="微软雅黑" w:cs="仿宋_GB2312" w:hint="eastAsia"/>
          <w:color w:val="000000" w:themeColor="text1"/>
          <w:sz w:val="32"/>
          <w:szCs w:val="32"/>
        </w:rPr>
        <w:t>小时到达考点，以免影响考试。</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lastRenderedPageBreak/>
        <w:t>（三）考生参加考试时应自备一次性使</w:t>
      </w:r>
      <w:r>
        <w:rPr>
          <w:rFonts w:ascii="仿宋_GB2312" w:eastAsia="仿宋_GB2312" w:hAnsi="微软雅黑" w:cs="仿宋_GB2312" w:hint="eastAsia"/>
          <w:color w:val="000000" w:themeColor="text1"/>
          <w:sz w:val="32"/>
          <w:szCs w:val="32"/>
        </w:rPr>
        <w:t>用医用口罩或医用外科口罩，除接受身份核验时按要求摘下口罩外，进出考点以及考试期间应全程佩戴口罩。</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（四）考试期间，监考人员将组织全体考生签订《考生健康承诺书》（考点提供，样式见附件），请考生提前了解健康承诺书内容，按要求如实签订。</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四、疫情防控报备电话</w:t>
      </w: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青岛市人事考试中心</w:t>
      </w:r>
      <w:r>
        <w:rPr>
          <w:rFonts w:ascii="仿宋_GB2312" w:eastAsia="仿宋_GB2312" w:hAnsi="微软雅黑" w:cs="仿宋_GB2312" w:hint="eastAsia"/>
          <w:color w:val="000000" w:themeColor="text1"/>
          <w:sz w:val="32"/>
          <w:szCs w:val="32"/>
        </w:rPr>
        <w:t>  </w:t>
      </w:r>
      <w:r>
        <w:rPr>
          <w:rFonts w:ascii="仿宋_GB2312" w:eastAsia="仿宋_GB2312" w:hAnsi="微软雅黑" w:cs="仿宋_GB2312" w:hint="eastAsia"/>
          <w:color w:val="000000" w:themeColor="text1"/>
          <w:sz w:val="32"/>
          <w:szCs w:val="32"/>
        </w:rPr>
        <w:t>0532-82680139</w:t>
      </w:r>
      <w:r>
        <w:rPr>
          <w:rFonts w:ascii="仿宋_GB2312" w:eastAsia="仿宋_GB2312" w:hAnsi="微软雅黑" w:cs="仿宋_GB2312" w:hint="eastAsia"/>
          <w:color w:val="000000" w:themeColor="text1"/>
          <w:sz w:val="32"/>
          <w:szCs w:val="32"/>
        </w:rPr>
        <w:t>、</w:t>
      </w:r>
      <w:r>
        <w:rPr>
          <w:rFonts w:ascii="仿宋_GB2312" w:eastAsia="仿宋_GB2312" w:hAnsi="微软雅黑" w:cs="仿宋_GB2312" w:hint="eastAsia"/>
          <w:color w:val="000000" w:themeColor="text1"/>
          <w:sz w:val="32"/>
          <w:szCs w:val="32"/>
        </w:rPr>
        <w:t>0532-82680559</w:t>
      </w:r>
      <w:r>
        <w:rPr>
          <w:rFonts w:ascii="仿宋_GB2312" w:eastAsia="仿宋_GB2312" w:hAnsi="微软雅黑" w:cs="仿宋_GB2312" w:hint="eastAsia"/>
          <w:color w:val="000000" w:themeColor="text1"/>
          <w:sz w:val="32"/>
          <w:szCs w:val="32"/>
        </w:rPr>
        <w:t>、</w:t>
      </w:r>
      <w:r>
        <w:rPr>
          <w:rFonts w:ascii="仿宋_GB2312" w:eastAsia="仿宋_GB2312" w:hAnsi="微软雅黑" w:cs="仿宋_GB2312" w:hint="eastAsia"/>
          <w:color w:val="000000" w:themeColor="text1"/>
          <w:sz w:val="32"/>
          <w:szCs w:val="32"/>
        </w:rPr>
        <w:t>0532-82656221</w:t>
      </w:r>
      <w:r>
        <w:rPr>
          <w:rFonts w:ascii="仿宋_GB2312" w:eastAsia="仿宋_GB2312" w:hAnsi="微软雅黑" w:cs="仿宋_GB2312" w:hint="eastAsia"/>
          <w:color w:val="000000" w:themeColor="text1"/>
          <w:sz w:val="32"/>
          <w:szCs w:val="32"/>
        </w:rPr>
        <w:t>、</w:t>
      </w:r>
      <w:r>
        <w:rPr>
          <w:rFonts w:ascii="仿宋_GB2312" w:eastAsia="仿宋_GB2312" w:hAnsi="微软雅黑" w:cs="仿宋_GB2312" w:hint="eastAsia"/>
          <w:color w:val="000000" w:themeColor="text1"/>
          <w:sz w:val="32"/>
          <w:szCs w:val="32"/>
        </w:rPr>
        <w:t>0532-82680639</w:t>
      </w:r>
      <w:r>
        <w:rPr>
          <w:rFonts w:ascii="仿宋_GB2312" w:eastAsia="仿宋_GB2312" w:hAnsi="微软雅黑" w:cs="仿宋_GB2312" w:hint="eastAsia"/>
          <w:color w:val="000000" w:themeColor="text1"/>
          <w:sz w:val="32"/>
          <w:szCs w:val="32"/>
        </w:rPr>
        <w:t>、</w:t>
      </w:r>
      <w:r>
        <w:rPr>
          <w:rFonts w:ascii="仿宋_GB2312" w:eastAsia="仿宋_GB2312" w:hAnsi="微软雅黑" w:cs="仿宋_GB2312" w:hint="eastAsia"/>
          <w:color w:val="000000" w:themeColor="text1"/>
          <w:sz w:val="32"/>
          <w:szCs w:val="32"/>
        </w:rPr>
        <w:t>0532-82669082</w:t>
      </w:r>
    </w:p>
    <w:p w:rsidR="00DC6436" w:rsidRDefault="00DC6436">
      <w:pPr>
        <w:pStyle w:val="a7"/>
        <w:widowControl/>
        <w:spacing w:beforeAutospacing="0" w:afterAutospacing="0" w:line="560" w:lineRule="exact"/>
        <w:ind w:firstLineChars="200" w:firstLine="620"/>
        <w:rPr>
          <w:rFonts w:ascii="仿宋_GB2312" w:eastAsia="仿宋_GB2312" w:hAnsi="微软雅黑" w:cs="仿宋_GB2312"/>
          <w:color w:val="000000" w:themeColor="text1"/>
          <w:sz w:val="31"/>
          <w:szCs w:val="31"/>
        </w:rPr>
      </w:pPr>
    </w:p>
    <w:p w:rsidR="00DC6436" w:rsidRDefault="00EA78EB">
      <w:pPr>
        <w:pStyle w:val="a7"/>
        <w:widowControl/>
        <w:spacing w:beforeAutospacing="0" w:afterAutospacing="0" w:line="560" w:lineRule="exact"/>
        <w:ind w:firstLineChars="200" w:firstLine="640"/>
        <w:rPr>
          <w:rFonts w:ascii="仿宋_GB2312" w:eastAsia="仿宋_GB2312" w:hAnsi="微软雅黑" w:cs="仿宋_GB2312"/>
          <w:color w:val="000000" w:themeColor="text1"/>
          <w:sz w:val="32"/>
          <w:szCs w:val="32"/>
        </w:rPr>
      </w:pPr>
      <w:r>
        <w:rPr>
          <w:rFonts w:ascii="仿宋_GB2312" w:eastAsia="仿宋_GB2312" w:hAnsi="微软雅黑" w:cs="仿宋_GB2312" w:hint="eastAsia"/>
          <w:color w:val="000000" w:themeColor="text1"/>
          <w:sz w:val="32"/>
          <w:szCs w:val="32"/>
        </w:rPr>
        <w:t>附件：考生健康承诺书</w:t>
      </w:r>
    </w:p>
    <w:p w:rsidR="00DC6436" w:rsidRDefault="00DC6436">
      <w:pPr>
        <w:pStyle w:val="a7"/>
        <w:widowControl/>
        <w:spacing w:beforeAutospacing="0" w:afterAutospacing="0" w:line="560" w:lineRule="exact"/>
        <w:ind w:firstLineChars="200" w:firstLine="620"/>
        <w:rPr>
          <w:rFonts w:ascii="仿宋_GB2312" w:eastAsia="仿宋_GB2312" w:hAnsi="微软雅黑" w:cs="仿宋_GB2312"/>
          <w:color w:val="000000" w:themeColor="text1"/>
          <w:sz w:val="31"/>
          <w:szCs w:val="31"/>
        </w:rPr>
      </w:pPr>
    </w:p>
    <w:p w:rsidR="00DC6436" w:rsidRDefault="00DC6436">
      <w:pPr>
        <w:pStyle w:val="a7"/>
        <w:widowControl/>
        <w:spacing w:beforeAutospacing="0" w:afterAutospacing="0" w:line="560" w:lineRule="exact"/>
        <w:ind w:firstLineChars="200" w:firstLine="620"/>
        <w:rPr>
          <w:rFonts w:ascii="仿宋_GB2312" w:eastAsia="仿宋_GB2312" w:hAnsi="微软雅黑" w:cs="仿宋_GB2312"/>
          <w:color w:val="000000" w:themeColor="text1"/>
          <w:sz w:val="31"/>
          <w:szCs w:val="31"/>
        </w:rPr>
      </w:pPr>
    </w:p>
    <w:p w:rsidR="00DC6436" w:rsidRDefault="00EA78EB">
      <w:pPr>
        <w:pStyle w:val="a7"/>
        <w:widowControl/>
        <w:wordWrap w:val="0"/>
        <w:spacing w:beforeAutospacing="0" w:afterAutospacing="0" w:line="560" w:lineRule="exact"/>
        <w:jc w:val="right"/>
        <w:rPr>
          <w:rFonts w:ascii="仿宋_GB2312" w:eastAsia="仿宋_GB2312" w:hAnsi="微软雅黑" w:cs="仿宋_GB2312"/>
          <w:color w:val="000000" w:themeColor="text1"/>
          <w:sz w:val="31"/>
          <w:szCs w:val="31"/>
        </w:rPr>
      </w:pPr>
      <w:r>
        <w:rPr>
          <w:rFonts w:ascii="仿宋_GB2312" w:eastAsia="仿宋_GB2312" w:hAnsi="微软雅黑" w:cs="仿宋_GB2312" w:hint="eastAsia"/>
          <w:color w:val="000000" w:themeColor="text1"/>
          <w:sz w:val="31"/>
          <w:szCs w:val="31"/>
        </w:rPr>
        <w:t>青岛市人力资源和社会保障局</w:t>
      </w:r>
    </w:p>
    <w:p w:rsidR="00DC6436" w:rsidRDefault="00EA78EB" w:rsidP="00070393">
      <w:pPr>
        <w:pStyle w:val="a7"/>
        <w:widowControl/>
        <w:wordWrap w:val="0"/>
        <w:spacing w:beforeAutospacing="0" w:afterAutospacing="0" w:line="560" w:lineRule="exact"/>
        <w:ind w:right="620"/>
        <w:jc w:val="right"/>
        <w:rPr>
          <w:rFonts w:ascii="仿宋_GB2312" w:eastAsia="仿宋_GB2312" w:hAnsi="微软雅黑" w:cs="仿宋_GB2312"/>
          <w:color w:val="000000" w:themeColor="text1"/>
          <w:sz w:val="31"/>
          <w:szCs w:val="31"/>
        </w:rPr>
      </w:pPr>
      <w:r>
        <w:rPr>
          <w:rFonts w:ascii="仿宋_GB2312" w:eastAsia="仿宋_GB2312" w:hAnsi="微软雅黑" w:cs="仿宋_GB2312" w:hint="eastAsia"/>
          <w:color w:val="000000" w:themeColor="text1"/>
          <w:sz w:val="31"/>
          <w:szCs w:val="31"/>
        </w:rPr>
        <w:t>2022</w:t>
      </w:r>
      <w:r>
        <w:rPr>
          <w:rFonts w:ascii="仿宋_GB2312" w:eastAsia="仿宋_GB2312" w:hAnsi="微软雅黑" w:cs="仿宋_GB2312" w:hint="eastAsia"/>
          <w:color w:val="000000" w:themeColor="text1"/>
          <w:sz w:val="31"/>
          <w:szCs w:val="31"/>
        </w:rPr>
        <w:t>年</w:t>
      </w:r>
      <w:r>
        <w:rPr>
          <w:rFonts w:ascii="仿宋_GB2312" w:eastAsia="仿宋_GB2312" w:hAnsi="微软雅黑" w:cs="仿宋_GB2312" w:hint="eastAsia"/>
          <w:color w:val="000000" w:themeColor="text1"/>
          <w:sz w:val="31"/>
          <w:szCs w:val="31"/>
        </w:rPr>
        <w:t>1</w:t>
      </w:r>
      <w:r>
        <w:rPr>
          <w:rFonts w:ascii="仿宋_GB2312" w:eastAsia="仿宋_GB2312" w:hAnsi="微软雅黑" w:cs="仿宋_GB2312" w:hint="eastAsia"/>
          <w:color w:val="000000" w:themeColor="text1"/>
          <w:sz w:val="31"/>
          <w:szCs w:val="31"/>
        </w:rPr>
        <w:t>2</w:t>
      </w:r>
      <w:r>
        <w:rPr>
          <w:rFonts w:ascii="仿宋_GB2312" w:eastAsia="仿宋_GB2312" w:hAnsi="微软雅黑" w:cs="仿宋_GB2312" w:hint="eastAsia"/>
          <w:color w:val="000000" w:themeColor="text1"/>
          <w:sz w:val="31"/>
          <w:szCs w:val="31"/>
        </w:rPr>
        <w:t>月</w:t>
      </w:r>
      <w:r w:rsidR="00070393">
        <w:rPr>
          <w:rFonts w:ascii="仿宋_GB2312" w:eastAsia="仿宋_GB2312" w:hAnsi="微软雅黑" w:cs="仿宋_GB2312" w:hint="eastAsia"/>
          <w:color w:val="000000" w:themeColor="text1"/>
          <w:sz w:val="31"/>
          <w:szCs w:val="31"/>
        </w:rPr>
        <w:t>12</w:t>
      </w:r>
      <w:bookmarkStart w:id="0" w:name="_GoBack"/>
      <w:bookmarkEnd w:id="0"/>
      <w:r>
        <w:rPr>
          <w:rFonts w:ascii="仿宋_GB2312" w:eastAsia="仿宋_GB2312" w:hAnsi="微软雅黑" w:cs="仿宋_GB2312" w:hint="eastAsia"/>
          <w:color w:val="000000" w:themeColor="text1"/>
          <w:sz w:val="31"/>
          <w:szCs w:val="31"/>
        </w:rPr>
        <w:t>日</w:t>
      </w:r>
    </w:p>
    <w:p w:rsidR="00DC6436" w:rsidRDefault="00EA78EB">
      <w:pPr>
        <w:rPr>
          <w:rFonts w:ascii="仿宋_GB2312" w:eastAsia="仿宋_GB2312" w:hAnsi="微软雅黑" w:cs="仿宋_GB2312"/>
          <w:color w:val="000000" w:themeColor="text1"/>
          <w:sz w:val="31"/>
          <w:szCs w:val="31"/>
        </w:rPr>
      </w:pPr>
      <w:r>
        <w:rPr>
          <w:rFonts w:ascii="仿宋_GB2312" w:eastAsia="仿宋_GB2312" w:hAnsi="微软雅黑" w:cs="仿宋_GB2312" w:hint="eastAsia"/>
          <w:color w:val="000000" w:themeColor="text1"/>
          <w:sz w:val="31"/>
          <w:szCs w:val="31"/>
        </w:rPr>
        <w:br w:type="page"/>
      </w:r>
    </w:p>
    <w:p w:rsidR="00DC6436" w:rsidRDefault="00EA78EB">
      <w:pPr>
        <w:spacing w:line="580" w:lineRule="exact"/>
        <w:rPr>
          <w:rFonts w:ascii="仿宋_GB2312" w:eastAsia="仿宋_GB2312" w:hAnsi="微软雅黑" w:cs="仿宋_GB2312"/>
          <w:color w:val="000000" w:themeColor="text1"/>
          <w:kern w:val="0"/>
          <w:sz w:val="32"/>
          <w:szCs w:val="32"/>
        </w:rPr>
      </w:pPr>
      <w:r>
        <w:rPr>
          <w:rFonts w:ascii="仿宋_GB2312" w:eastAsia="仿宋_GB2312" w:hAnsi="微软雅黑" w:cs="仿宋_GB2312" w:hint="eastAsia"/>
          <w:color w:val="000000" w:themeColor="text1"/>
          <w:kern w:val="0"/>
          <w:sz w:val="32"/>
          <w:szCs w:val="32"/>
        </w:rPr>
        <w:lastRenderedPageBreak/>
        <w:t>附件</w:t>
      </w:r>
    </w:p>
    <w:p w:rsidR="00DC6436" w:rsidRDefault="00EA78EB">
      <w:pPr>
        <w:suppressAutoHyphens/>
        <w:spacing w:line="530" w:lineRule="exact"/>
        <w:jc w:val="center"/>
        <w:rPr>
          <w:rFonts w:ascii="方正小标宋_GBK" w:eastAsia="方正小标宋_GBK" w:hAnsi="红豆小标宋简体" w:cs="红豆小标宋简体"/>
          <w:sz w:val="44"/>
          <w:szCs w:val="44"/>
        </w:rPr>
      </w:pPr>
      <w:r>
        <w:rPr>
          <w:rFonts w:ascii="方正小标宋_GBK" w:eastAsia="方正小标宋_GBK" w:hAnsi="红豆小标宋简体" w:cs="红豆小标宋简体" w:hint="eastAsia"/>
          <w:sz w:val="44"/>
          <w:szCs w:val="44"/>
        </w:rPr>
        <w:t>2022</w:t>
      </w:r>
      <w:r>
        <w:rPr>
          <w:rFonts w:ascii="方正小标宋_GBK" w:eastAsia="方正小标宋_GBK" w:hAnsi="红豆小标宋简体" w:cs="红豆小标宋简体" w:hint="eastAsia"/>
          <w:sz w:val="44"/>
          <w:szCs w:val="44"/>
        </w:rPr>
        <w:t>年度青岛市市属事业单位</w:t>
      </w:r>
    </w:p>
    <w:p w:rsidR="00DC6436" w:rsidRDefault="00EA78EB">
      <w:pPr>
        <w:suppressAutoHyphens/>
        <w:spacing w:line="530" w:lineRule="exact"/>
        <w:jc w:val="center"/>
        <w:rPr>
          <w:rFonts w:ascii="方正小标宋_GBK" w:eastAsia="方正小标宋_GBK" w:hAnsi="红豆小标宋简体" w:cs="红豆小标宋简体"/>
          <w:sz w:val="44"/>
          <w:szCs w:val="44"/>
        </w:rPr>
      </w:pPr>
      <w:r>
        <w:rPr>
          <w:rFonts w:ascii="方正小标宋_GBK" w:eastAsia="方正小标宋_GBK" w:hAnsi="红豆小标宋简体" w:cs="红豆小标宋简体" w:hint="eastAsia"/>
          <w:sz w:val="44"/>
          <w:szCs w:val="44"/>
        </w:rPr>
        <w:t>公开遴选工作人员招聘笔试考生健康承诺书</w:t>
      </w:r>
    </w:p>
    <w:tbl>
      <w:tblPr>
        <w:tblpPr w:leftFromText="180" w:rightFromText="180" w:vertAnchor="text" w:horzAnchor="margin" w:tblpY="124"/>
        <w:tblW w:w="9169" w:type="dxa"/>
        <w:tblLayout w:type="fixed"/>
        <w:tblLook w:val="04A0" w:firstRow="1" w:lastRow="0" w:firstColumn="1" w:lastColumn="0" w:noHBand="0" w:noVBand="1"/>
      </w:tblPr>
      <w:tblGrid>
        <w:gridCol w:w="1045"/>
        <w:gridCol w:w="3357"/>
        <w:gridCol w:w="303"/>
        <w:gridCol w:w="1371"/>
        <w:gridCol w:w="3093"/>
      </w:tblGrid>
      <w:tr w:rsidR="00DC6436">
        <w:trPr>
          <w:cantSplit/>
          <w:trHeight w:hRule="exact" w:val="331"/>
        </w:trPr>
        <w:tc>
          <w:tcPr>
            <w:tcW w:w="9169" w:type="dxa"/>
            <w:gridSpan w:val="5"/>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rFonts w:eastAsia="楷体"/>
                <w:kern w:val="0"/>
                <w:sz w:val="22"/>
                <w:szCs w:val="22"/>
              </w:rPr>
            </w:pPr>
            <w:r>
              <w:rPr>
                <w:rFonts w:eastAsia="楷体" w:hint="eastAsia"/>
                <w:kern w:val="0"/>
                <w:sz w:val="22"/>
                <w:szCs w:val="22"/>
              </w:rPr>
              <w:t>考点</w:t>
            </w:r>
            <w:r>
              <w:rPr>
                <w:rFonts w:eastAsia="楷体"/>
                <w:kern w:val="0"/>
                <w:sz w:val="22"/>
                <w:szCs w:val="22"/>
              </w:rPr>
              <w:t>名称：</w:t>
            </w:r>
            <w:r>
              <w:rPr>
                <w:rFonts w:eastAsia="楷体"/>
                <w:kern w:val="0"/>
                <w:sz w:val="22"/>
                <w:szCs w:val="22"/>
              </w:rPr>
              <w:t xml:space="preserve"> </w:t>
            </w:r>
          </w:p>
        </w:tc>
      </w:tr>
      <w:tr w:rsidR="00DC6436">
        <w:trPr>
          <w:cantSplit/>
          <w:trHeight w:hRule="exact" w:val="331"/>
        </w:trPr>
        <w:tc>
          <w:tcPr>
            <w:tcW w:w="4402" w:type="dxa"/>
            <w:gridSpan w:val="2"/>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rFonts w:eastAsia="楷体"/>
                <w:kern w:val="0"/>
                <w:sz w:val="22"/>
                <w:szCs w:val="22"/>
              </w:rPr>
            </w:pPr>
            <w:r>
              <w:rPr>
                <w:rFonts w:eastAsia="楷体" w:hint="eastAsia"/>
                <w:kern w:val="0"/>
                <w:sz w:val="22"/>
                <w:szCs w:val="22"/>
              </w:rPr>
              <w:t>考试科目：</w:t>
            </w:r>
          </w:p>
        </w:tc>
        <w:tc>
          <w:tcPr>
            <w:tcW w:w="4767" w:type="dxa"/>
            <w:gridSpan w:val="3"/>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rFonts w:eastAsia="楷体"/>
                <w:kern w:val="0"/>
                <w:sz w:val="22"/>
                <w:szCs w:val="22"/>
              </w:rPr>
            </w:pPr>
            <w:r>
              <w:rPr>
                <w:rFonts w:eastAsia="楷体" w:hint="eastAsia"/>
                <w:kern w:val="0"/>
                <w:sz w:val="22"/>
                <w:szCs w:val="22"/>
              </w:rPr>
              <w:t>考场</w:t>
            </w:r>
            <w:r>
              <w:rPr>
                <w:rFonts w:eastAsia="楷体"/>
                <w:kern w:val="0"/>
                <w:sz w:val="22"/>
                <w:szCs w:val="22"/>
              </w:rPr>
              <w:t>号：</w:t>
            </w:r>
          </w:p>
        </w:tc>
      </w:tr>
      <w:tr w:rsidR="00DC6436">
        <w:trPr>
          <w:cantSplit/>
          <w:trHeight w:val="999"/>
        </w:trPr>
        <w:tc>
          <w:tcPr>
            <w:tcW w:w="1045" w:type="dxa"/>
            <w:tcBorders>
              <w:top w:val="nil"/>
              <w:left w:val="single" w:sz="4" w:space="0" w:color="auto"/>
              <w:right w:val="single" w:sz="4" w:space="0" w:color="auto"/>
            </w:tcBorders>
            <w:vAlign w:val="center"/>
          </w:tcPr>
          <w:p w:rsidR="00DC6436" w:rsidRDefault="00EA78EB">
            <w:pPr>
              <w:widowControl/>
              <w:adjustRightInd w:val="0"/>
              <w:snapToGrid w:val="0"/>
              <w:spacing w:line="320" w:lineRule="exact"/>
              <w:jc w:val="center"/>
              <w:rPr>
                <w:rFonts w:eastAsia="黑体"/>
                <w:kern w:val="0"/>
                <w:sz w:val="22"/>
                <w:szCs w:val="22"/>
              </w:rPr>
            </w:pPr>
            <w:r>
              <w:rPr>
                <w:rFonts w:eastAsia="黑体"/>
                <w:kern w:val="0"/>
                <w:sz w:val="22"/>
                <w:szCs w:val="22"/>
              </w:rPr>
              <w:t>考生</w:t>
            </w:r>
          </w:p>
          <w:p w:rsidR="00DC6436" w:rsidRDefault="00EA78EB">
            <w:pPr>
              <w:adjustRightInd w:val="0"/>
              <w:snapToGrid w:val="0"/>
              <w:spacing w:line="320" w:lineRule="exact"/>
              <w:jc w:val="center"/>
              <w:rPr>
                <w:rFonts w:eastAsia="黑体"/>
                <w:kern w:val="0"/>
                <w:sz w:val="24"/>
              </w:rPr>
            </w:pPr>
            <w:r>
              <w:rPr>
                <w:rFonts w:eastAsia="黑体"/>
                <w:kern w:val="0"/>
                <w:sz w:val="22"/>
                <w:szCs w:val="22"/>
              </w:rPr>
              <w:t>承诺</w:t>
            </w:r>
          </w:p>
        </w:tc>
        <w:tc>
          <w:tcPr>
            <w:tcW w:w="8124" w:type="dxa"/>
            <w:gridSpan w:val="4"/>
            <w:tcBorders>
              <w:top w:val="single" w:sz="4" w:space="0" w:color="auto"/>
              <w:left w:val="nil"/>
              <w:right w:val="single" w:sz="4" w:space="0" w:color="000000"/>
            </w:tcBorders>
            <w:vAlign w:val="center"/>
          </w:tcPr>
          <w:p w:rsidR="00DC6436" w:rsidRDefault="00EA78EB">
            <w:pPr>
              <w:adjustRightInd w:val="0"/>
              <w:snapToGrid w:val="0"/>
              <w:spacing w:line="280" w:lineRule="exact"/>
              <w:rPr>
                <w:kern w:val="0"/>
                <w:sz w:val="16"/>
                <w:szCs w:val="16"/>
              </w:rPr>
            </w:pPr>
            <w:r>
              <w:rPr>
                <w:rFonts w:hint="eastAsia"/>
                <w:b/>
                <w:kern w:val="0"/>
                <w:szCs w:val="21"/>
              </w:rPr>
              <w:t xml:space="preserve">    </w:t>
            </w:r>
            <w:r>
              <w:rPr>
                <w:rFonts w:hint="eastAsia"/>
                <w:b/>
                <w:kern w:val="0"/>
                <w:szCs w:val="21"/>
              </w:rPr>
              <w:t>本人</w:t>
            </w:r>
            <w:r>
              <w:rPr>
                <w:b/>
                <w:kern w:val="0"/>
                <w:szCs w:val="21"/>
              </w:rPr>
              <w:t>已</w:t>
            </w:r>
            <w:r>
              <w:rPr>
                <w:rFonts w:hint="eastAsia"/>
                <w:b/>
                <w:kern w:val="0"/>
                <w:szCs w:val="21"/>
              </w:rPr>
              <w:t>按要求做好各项疫情常态化防控措施，已提供真实、有效的考前连续三天核酸检测阴性证明。</w:t>
            </w:r>
            <w:r>
              <w:rPr>
                <w:b/>
                <w:kern w:val="0"/>
                <w:szCs w:val="21"/>
              </w:rPr>
              <w:t>如因瞒报或虚假</w:t>
            </w:r>
            <w:r>
              <w:rPr>
                <w:rFonts w:hint="eastAsia"/>
                <w:b/>
                <w:kern w:val="0"/>
                <w:szCs w:val="21"/>
              </w:rPr>
              <w:t>承诺</w:t>
            </w:r>
            <w:r>
              <w:rPr>
                <w:b/>
                <w:kern w:val="0"/>
                <w:szCs w:val="21"/>
              </w:rPr>
              <w:t>引起不良后果，本人愿承担相应的法律责任。</w:t>
            </w:r>
          </w:p>
        </w:tc>
      </w:tr>
      <w:tr w:rsidR="00DC6436">
        <w:trPr>
          <w:cantSplit/>
          <w:trHeight w:val="724"/>
        </w:trPr>
        <w:tc>
          <w:tcPr>
            <w:tcW w:w="1045" w:type="dxa"/>
            <w:tcBorders>
              <w:top w:val="single" w:sz="4" w:space="0" w:color="auto"/>
              <w:left w:val="single" w:sz="4" w:space="0" w:color="auto"/>
              <w:bottom w:val="single" w:sz="4" w:space="0" w:color="auto"/>
              <w:right w:val="single" w:sz="4" w:space="0" w:color="000000"/>
            </w:tcBorders>
            <w:vAlign w:val="center"/>
          </w:tcPr>
          <w:p w:rsidR="00DC6436" w:rsidRDefault="00EA78EB">
            <w:pPr>
              <w:widowControl/>
              <w:adjustRightInd w:val="0"/>
              <w:snapToGrid w:val="0"/>
              <w:spacing w:line="240" w:lineRule="exact"/>
              <w:jc w:val="center"/>
              <w:rPr>
                <w:rFonts w:eastAsia="黑体"/>
                <w:kern w:val="0"/>
                <w:sz w:val="16"/>
                <w:szCs w:val="16"/>
              </w:rPr>
            </w:pPr>
            <w:r>
              <w:rPr>
                <w:rFonts w:eastAsia="黑体"/>
                <w:kern w:val="0"/>
                <w:sz w:val="16"/>
                <w:szCs w:val="16"/>
              </w:rPr>
              <w:t>座位号</w:t>
            </w:r>
          </w:p>
        </w:tc>
        <w:tc>
          <w:tcPr>
            <w:tcW w:w="3357"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rFonts w:eastAsia="黑体"/>
                <w:kern w:val="0"/>
                <w:sz w:val="16"/>
                <w:szCs w:val="16"/>
              </w:rPr>
            </w:pPr>
            <w:r>
              <w:rPr>
                <w:rFonts w:eastAsia="黑体"/>
                <w:kern w:val="0"/>
                <w:sz w:val="16"/>
                <w:szCs w:val="16"/>
              </w:rPr>
              <w:t>考生承诺签字</w:t>
            </w:r>
          </w:p>
        </w:tc>
        <w:tc>
          <w:tcPr>
            <w:tcW w:w="303" w:type="dxa"/>
            <w:vMerge w:val="restart"/>
            <w:tcBorders>
              <w:top w:val="single" w:sz="4" w:space="0" w:color="auto"/>
              <w:left w:val="nil"/>
              <w:bottom w:val="single" w:sz="4" w:space="0" w:color="auto"/>
              <w:right w:val="single" w:sz="4" w:space="0" w:color="auto"/>
            </w:tcBorders>
            <w:vAlign w:val="center"/>
          </w:tcPr>
          <w:p w:rsidR="00DC6436" w:rsidRDefault="00DC6436">
            <w:pPr>
              <w:adjustRightInd w:val="0"/>
              <w:snapToGrid w:val="0"/>
              <w:rPr>
                <w:rFonts w:eastAsia="黑体"/>
                <w:kern w:val="0"/>
                <w:sz w:val="16"/>
                <w:szCs w:val="16"/>
              </w:rPr>
            </w:pPr>
          </w:p>
        </w:tc>
        <w:tc>
          <w:tcPr>
            <w:tcW w:w="1371"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rFonts w:eastAsia="黑体"/>
                <w:kern w:val="0"/>
                <w:sz w:val="16"/>
                <w:szCs w:val="16"/>
              </w:rPr>
            </w:pPr>
            <w:r>
              <w:rPr>
                <w:rFonts w:eastAsia="黑体"/>
                <w:kern w:val="0"/>
                <w:sz w:val="16"/>
                <w:szCs w:val="16"/>
              </w:rPr>
              <w:t>座位号</w:t>
            </w:r>
          </w:p>
        </w:tc>
        <w:tc>
          <w:tcPr>
            <w:tcW w:w="3093"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rFonts w:eastAsia="黑体"/>
                <w:kern w:val="0"/>
                <w:sz w:val="16"/>
                <w:szCs w:val="16"/>
              </w:rPr>
            </w:pPr>
            <w:r>
              <w:rPr>
                <w:rFonts w:eastAsia="黑体"/>
                <w:kern w:val="0"/>
                <w:sz w:val="16"/>
                <w:szCs w:val="16"/>
              </w:rPr>
              <w:t>考生承诺签字</w:t>
            </w:r>
          </w:p>
        </w:tc>
      </w:tr>
      <w:tr w:rsidR="00DC6436">
        <w:trPr>
          <w:cantSplit/>
          <w:trHeight w:val="425"/>
        </w:trPr>
        <w:tc>
          <w:tcPr>
            <w:tcW w:w="1045"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01</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16</w:t>
            </w:r>
          </w:p>
        </w:tc>
        <w:tc>
          <w:tcPr>
            <w:tcW w:w="3093" w:type="dxa"/>
            <w:tcBorders>
              <w:top w:val="nil"/>
              <w:left w:val="single" w:sz="4" w:space="0" w:color="auto"/>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r>
      <w:tr w:rsidR="00DC6436">
        <w:trPr>
          <w:cantSplit/>
          <w:trHeight w:val="425"/>
        </w:trPr>
        <w:tc>
          <w:tcPr>
            <w:tcW w:w="1045" w:type="dxa"/>
            <w:tcBorders>
              <w:top w:val="single" w:sz="4" w:space="0" w:color="auto"/>
              <w:left w:val="single" w:sz="4" w:space="0" w:color="auto"/>
              <w:bottom w:val="nil"/>
              <w:right w:val="single" w:sz="4" w:space="0" w:color="000000"/>
            </w:tcBorders>
            <w:vAlign w:val="center"/>
          </w:tcPr>
          <w:p w:rsidR="00DC6436" w:rsidRDefault="00EA78EB">
            <w:pPr>
              <w:widowControl/>
              <w:adjustRightInd w:val="0"/>
              <w:snapToGrid w:val="0"/>
              <w:spacing w:line="240" w:lineRule="exact"/>
              <w:jc w:val="center"/>
              <w:rPr>
                <w:kern w:val="0"/>
                <w:sz w:val="20"/>
                <w:szCs w:val="20"/>
              </w:rPr>
            </w:pPr>
            <w:r>
              <w:rPr>
                <w:sz w:val="20"/>
                <w:szCs w:val="20"/>
              </w:rPr>
              <w:t>02</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17</w:t>
            </w:r>
          </w:p>
        </w:tc>
        <w:tc>
          <w:tcPr>
            <w:tcW w:w="3093" w:type="dxa"/>
            <w:tcBorders>
              <w:top w:val="nil"/>
              <w:left w:val="single" w:sz="4" w:space="0" w:color="auto"/>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r>
      <w:tr w:rsidR="00DC6436">
        <w:trPr>
          <w:cantSplit/>
          <w:trHeight w:val="425"/>
        </w:trPr>
        <w:tc>
          <w:tcPr>
            <w:tcW w:w="1045" w:type="dxa"/>
            <w:tcBorders>
              <w:top w:val="single" w:sz="4" w:space="0" w:color="auto"/>
              <w:left w:val="single" w:sz="4" w:space="0" w:color="auto"/>
              <w:bottom w:val="nil"/>
              <w:right w:val="single" w:sz="4" w:space="0" w:color="000000"/>
            </w:tcBorders>
            <w:vAlign w:val="center"/>
          </w:tcPr>
          <w:p w:rsidR="00DC6436" w:rsidRDefault="00EA78EB">
            <w:pPr>
              <w:widowControl/>
              <w:adjustRightInd w:val="0"/>
              <w:snapToGrid w:val="0"/>
              <w:spacing w:line="240" w:lineRule="exact"/>
              <w:jc w:val="center"/>
              <w:rPr>
                <w:kern w:val="0"/>
                <w:sz w:val="20"/>
                <w:szCs w:val="20"/>
              </w:rPr>
            </w:pPr>
            <w:r>
              <w:rPr>
                <w:sz w:val="20"/>
                <w:szCs w:val="20"/>
              </w:rPr>
              <w:t>03</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18</w:t>
            </w:r>
          </w:p>
        </w:tc>
        <w:tc>
          <w:tcPr>
            <w:tcW w:w="3093" w:type="dxa"/>
            <w:tcBorders>
              <w:top w:val="nil"/>
              <w:left w:val="single" w:sz="4" w:space="0" w:color="auto"/>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r>
      <w:tr w:rsidR="00DC6436">
        <w:trPr>
          <w:cantSplit/>
          <w:trHeight w:val="425"/>
        </w:trPr>
        <w:tc>
          <w:tcPr>
            <w:tcW w:w="1045"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04</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19</w:t>
            </w:r>
          </w:p>
        </w:tc>
        <w:tc>
          <w:tcPr>
            <w:tcW w:w="3093" w:type="dxa"/>
            <w:tcBorders>
              <w:top w:val="nil"/>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kern w:val="0"/>
                <w:sz w:val="22"/>
                <w:szCs w:val="22"/>
              </w:rPr>
            </w:pPr>
            <w:r>
              <w:rPr>
                <w:kern w:val="0"/>
                <w:sz w:val="22"/>
                <w:szCs w:val="22"/>
              </w:rPr>
              <w:t xml:space="preserve">　</w:t>
            </w:r>
          </w:p>
        </w:tc>
      </w:tr>
      <w:tr w:rsidR="00DC6436">
        <w:trPr>
          <w:cantSplit/>
          <w:trHeight w:val="425"/>
        </w:trPr>
        <w:tc>
          <w:tcPr>
            <w:tcW w:w="1045"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05</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20</w:t>
            </w:r>
          </w:p>
        </w:tc>
        <w:tc>
          <w:tcPr>
            <w:tcW w:w="3093" w:type="dxa"/>
            <w:tcBorders>
              <w:top w:val="nil"/>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kern w:val="0"/>
                <w:sz w:val="22"/>
                <w:szCs w:val="22"/>
              </w:rPr>
            </w:pPr>
            <w:r>
              <w:rPr>
                <w:kern w:val="0"/>
                <w:sz w:val="22"/>
                <w:szCs w:val="22"/>
              </w:rPr>
              <w:t xml:space="preserve">　</w:t>
            </w:r>
          </w:p>
        </w:tc>
      </w:tr>
      <w:tr w:rsidR="00DC6436">
        <w:trPr>
          <w:cantSplit/>
          <w:trHeight w:val="425"/>
        </w:trPr>
        <w:tc>
          <w:tcPr>
            <w:tcW w:w="1045"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06</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21</w:t>
            </w:r>
          </w:p>
        </w:tc>
        <w:tc>
          <w:tcPr>
            <w:tcW w:w="3093" w:type="dxa"/>
            <w:tcBorders>
              <w:top w:val="nil"/>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kern w:val="0"/>
                <w:sz w:val="22"/>
                <w:szCs w:val="22"/>
              </w:rPr>
            </w:pPr>
            <w:r>
              <w:rPr>
                <w:kern w:val="0"/>
                <w:sz w:val="22"/>
                <w:szCs w:val="22"/>
              </w:rPr>
              <w:t xml:space="preserve">　</w:t>
            </w:r>
          </w:p>
        </w:tc>
      </w:tr>
      <w:tr w:rsidR="00DC6436">
        <w:trPr>
          <w:cantSplit/>
          <w:trHeight w:val="425"/>
        </w:trPr>
        <w:tc>
          <w:tcPr>
            <w:tcW w:w="1045"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07</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22</w:t>
            </w:r>
          </w:p>
        </w:tc>
        <w:tc>
          <w:tcPr>
            <w:tcW w:w="3093" w:type="dxa"/>
            <w:tcBorders>
              <w:top w:val="nil"/>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kern w:val="0"/>
                <w:sz w:val="22"/>
                <w:szCs w:val="22"/>
              </w:rPr>
            </w:pPr>
            <w:r>
              <w:rPr>
                <w:kern w:val="0"/>
                <w:sz w:val="22"/>
                <w:szCs w:val="22"/>
              </w:rPr>
              <w:t xml:space="preserve">　</w:t>
            </w:r>
          </w:p>
        </w:tc>
      </w:tr>
      <w:tr w:rsidR="00DC6436">
        <w:trPr>
          <w:cantSplit/>
          <w:trHeight w:val="425"/>
        </w:trPr>
        <w:tc>
          <w:tcPr>
            <w:tcW w:w="1045"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08</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23</w:t>
            </w:r>
          </w:p>
        </w:tc>
        <w:tc>
          <w:tcPr>
            <w:tcW w:w="3093" w:type="dxa"/>
            <w:tcBorders>
              <w:top w:val="nil"/>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kern w:val="0"/>
                <w:sz w:val="22"/>
                <w:szCs w:val="22"/>
              </w:rPr>
            </w:pPr>
            <w:r>
              <w:rPr>
                <w:kern w:val="0"/>
                <w:sz w:val="22"/>
                <w:szCs w:val="22"/>
              </w:rPr>
              <w:t xml:space="preserve">　</w:t>
            </w:r>
          </w:p>
        </w:tc>
      </w:tr>
      <w:tr w:rsidR="00DC6436">
        <w:trPr>
          <w:cantSplit/>
          <w:trHeight w:val="425"/>
        </w:trPr>
        <w:tc>
          <w:tcPr>
            <w:tcW w:w="1045"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09</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24</w:t>
            </w:r>
          </w:p>
        </w:tc>
        <w:tc>
          <w:tcPr>
            <w:tcW w:w="3093" w:type="dxa"/>
            <w:tcBorders>
              <w:top w:val="nil"/>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kern w:val="0"/>
                <w:sz w:val="22"/>
                <w:szCs w:val="22"/>
              </w:rPr>
            </w:pPr>
            <w:r>
              <w:rPr>
                <w:kern w:val="0"/>
                <w:sz w:val="22"/>
                <w:szCs w:val="22"/>
              </w:rPr>
              <w:t xml:space="preserve">　</w:t>
            </w:r>
          </w:p>
        </w:tc>
      </w:tr>
      <w:tr w:rsidR="00DC6436">
        <w:trPr>
          <w:cantSplit/>
          <w:trHeight w:val="425"/>
        </w:trPr>
        <w:tc>
          <w:tcPr>
            <w:tcW w:w="1045"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10</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25</w:t>
            </w:r>
          </w:p>
        </w:tc>
        <w:tc>
          <w:tcPr>
            <w:tcW w:w="3093" w:type="dxa"/>
            <w:tcBorders>
              <w:top w:val="nil"/>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kern w:val="0"/>
                <w:sz w:val="22"/>
                <w:szCs w:val="22"/>
              </w:rPr>
            </w:pPr>
            <w:r>
              <w:rPr>
                <w:kern w:val="0"/>
                <w:sz w:val="22"/>
                <w:szCs w:val="22"/>
              </w:rPr>
              <w:t xml:space="preserve">　</w:t>
            </w:r>
          </w:p>
        </w:tc>
      </w:tr>
      <w:tr w:rsidR="00DC6436">
        <w:trPr>
          <w:cantSplit/>
          <w:trHeight w:val="425"/>
        </w:trPr>
        <w:tc>
          <w:tcPr>
            <w:tcW w:w="1045"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11</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26</w:t>
            </w:r>
          </w:p>
        </w:tc>
        <w:tc>
          <w:tcPr>
            <w:tcW w:w="3093" w:type="dxa"/>
            <w:tcBorders>
              <w:top w:val="nil"/>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kern w:val="0"/>
                <w:sz w:val="22"/>
                <w:szCs w:val="22"/>
              </w:rPr>
            </w:pPr>
            <w:r>
              <w:rPr>
                <w:kern w:val="0"/>
                <w:sz w:val="22"/>
                <w:szCs w:val="22"/>
              </w:rPr>
              <w:t xml:space="preserve">　</w:t>
            </w:r>
          </w:p>
        </w:tc>
      </w:tr>
      <w:tr w:rsidR="00DC6436">
        <w:trPr>
          <w:cantSplit/>
          <w:trHeight w:val="425"/>
        </w:trPr>
        <w:tc>
          <w:tcPr>
            <w:tcW w:w="1045"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12</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27</w:t>
            </w:r>
          </w:p>
        </w:tc>
        <w:tc>
          <w:tcPr>
            <w:tcW w:w="3093" w:type="dxa"/>
            <w:tcBorders>
              <w:top w:val="nil"/>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kern w:val="0"/>
                <w:sz w:val="22"/>
                <w:szCs w:val="22"/>
              </w:rPr>
            </w:pPr>
            <w:r>
              <w:rPr>
                <w:kern w:val="0"/>
                <w:sz w:val="22"/>
                <w:szCs w:val="22"/>
              </w:rPr>
              <w:t xml:space="preserve">　</w:t>
            </w:r>
          </w:p>
        </w:tc>
      </w:tr>
      <w:tr w:rsidR="00DC6436">
        <w:trPr>
          <w:cantSplit/>
          <w:trHeight w:val="425"/>
        </w:trPr>
        <w:tc>
          <w:tcPr>
            <w:tcW w:w="1045"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13</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28</w:t>
            </w:r>
          </w:p>
        </w:tc>
        <w:tc>
          <w:tcPr>
            <w:tcW w:w="3093" w:type="dxa"/>
            <w:tcBorders>
              <w:top w:val="nil"/>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kern w:val="0"/>
                <w:sz w:val="22"/>
                <w:szCs w:val="22"/>
              </w:rPr>
            </w:pPr>
            <w:r>
              <w:rPr>
                <w:kern w:val="0"/>
                <w:sz w:val="22"/>
                <w:szCs w:val="22"/>
              </w:rPr>
              <w:t xml:space="preserve">　</w:t>
            </w:r>
          </w:p>
        </w:tc>
      </w:tr>
      <w:tr w:rsidR="00DC6436">
        <w:trPr>
          <w:cantSplit/>
          <w:trHeight w:val="425"/>
        </w:trPr>
        <w:tc>
          <w:tcPr>
            <w:tcW w:w="1045"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14</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29</w:t>
            </w:r>
          </w:p>
        </w:tc>
        <w:tc>
          <w:tcPr>
            <w:tcW w:w="3093" w:type="dxa"/>
            <w:tcBorders>
              <w:top w:val="nil"/>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kern w:val="0"/>
                <w:sz w:val="22"/>
                <w:szCs w:val="22"/>
              </w:rPr>
            </w:pPr>
            <w:r>
              <w:rPr>
                <w:kern w:val="0"/>
                <w:sz w:val="22"/>
                <w:szCs w:val="22"/>
              </w:rPr>
              <w:t xml:space="preserve">　</w:t>
            </w:r>
          </w:p>
        </w:tc>
      </w:tr>
      <w:tr w:rsidR="00DC6436">
        <w:trPr>
          <w:cantSplit/>
          <w:trHeight w:val="425"/>
        </w:trPr>
        <w:tc>
          <w:tcPr>
            <w:tcW w:w="1045" w:type="dxa"/>
            <w:tcBorders>
              <w:top w:val="single" w:sz="4" w:space="0" w:color="auto"/>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15</w:t>
            </w:r>
          </w:p>
        </w:tc>
        <w:tc>
          <w:tcPr>
            <w:tcW w:w="3357" w:type="dxa"/>
            <w:tcBorders>
              <w:top w:val="nil"/>
              <w:left w:val="nil"/>
              <w:bottom w:val="single" w:sz="4" w:space="0" w:color="auto"/>
              <w:right w:val="single" w:sz="4" w:space="0" w:color="auto"/>
            </w:tcBorders>
            <w:vAlign w:val="center"/>
          </w:tcPr>
          <w:p w:rsidR="00DC6436" w:rsidRDefault="00DC6436">
            <w:pPr>
              <w:widowControl/>
              <w:adjustRightInd w:val="0"/>
              <w:snapToGrid w:val="0"/>
              <w:spacing w:line="240" w:lineRule="exact"/>
              <w:rPr>
                <w:kern w:val="0"/>
                <w:sz w:val="20"/>
                <w:szCs w:val="20"/>
              </w:rPr>
            </w:pPr>
          </w:p>
        </w:tc>
        <w:tc>
          <w:tcPr>
            <w:tcW w:w="303" w:type="dxa"/>
            <w:vMerge/>
            <w:tcBorders>
              <w:top w:val="single" w:sz="4" w:space="0" w:color="auto"/>
              <w:left w:val="nil"/>
              <w:bottom w:val="single" w:sz="4" w:space="0" w:color="auto"/>
              <w:right w:val="single" w:sz="4" w:space="0" w:color="auto"/>
            </w:tcBorders>
            <w:vAlign w:val="center"/>
          </w:tcPr>
          <w:p w:rsidR="00DC6436" w:rsidRDefault="00DC6436">
            <w:pPr>
              <w:adjustRightInd w:val="0"/>
              <w:snapToGrid w:val="0"/>
              <w:rPr>
                <w:szCs w:val="22"/>
              </w:rPr>
            </w:pPr>
          </w:p>
        </w:tc>
        <w:tc>
          <w:tcPr>
            <w:tcW w:w="1371" w:type="dxa"/>
            <w:tcBorders>
              <w:top w:val="single" w:sz="4" w:space="0" w:color="auto"/>
              <w:left w:val="nil"/>
              <w:bottom w:val="single" w:sz="4" w:space="0" w:color="auto"/>
              <w:right w:val="single" w:sz="4" w:space="0" w:color="auto"/>
            </w:tcBorders>
            <w:vAlign w:val="center"/>
          </w:tcPr>
          <w:p w:rsidR="00DC6436" w:rsidRDefault="00EA78EB">
            <w:pPr>
              <w:widowControl/>
              <w:adjustRightInd w:val="0"/>
              <w:snapToGrid w:val="0"/>
              <w:spacing w:line="240" w:lineRule="exact"/>
              <w:jc w:val="center"/>
              <w:rPr>
                <w:kern w:val="0"/>
                <w:sz w:val="20"/>
                <w:szCs w:val="20"/>
              </w:rPr>
            </w:pPr>
            <w:r>
              <w:rPr>
                <w:sz w:val="20"/>
                <w:szCs w:val="20"/>
              </w:rPr>
              <w:t>30</w:t>
            </w:r>
          </w:p>
        </w:tc>
        <w:tc>
          <w:tcPr>
            <w:tcW w:w="3093" w:type="dxa"/>
            <w:tcBorders>
              <w:top w:val="nil"/>
              <w:left w:val="single" w:sz="4" w:space="0" w:color="auto"/>
              <w:bottom w:val="single" w:sz="4" w:space="0" w:color="auto"/>
              <w:right w:val="single" w:sz="4" w:space="0" w:color="auto"/>
            </w:tcBorders>
            <w:vAlign w:val="center"/>
          </w:tcPr>
          <w:p w:rsidR="00DC6436" w:rsidRDefault="00EA78EB">
            <w:pPr>
              <w:widowControl/>
              <w:adjustRightInd w:val="0"/>
              <w:snapToGrid w:val="0"/>
              <w:spacing w:line="240" w:lineRule="exact"/>
              <w:rPr>
                <w:kern w:val="0"/>
                <w:sz w:val="22"/>
                <w:szCs w:val="22"/>
              </w:rPr>
            </w:pPr>
            <w:r>
              <w:rPr>
                <w:kern w:val="0"/>
                <w:sz w:val="22"/>
                <w:szCs w:val="22"/>
              </w:rPr>
              <w:t xml:space="preserve">　</w:t>
            </w:r>
          </w:p>
        </w:tc>
      </w:tr>
    </w:tbl>
    <w:p w:rsidR="00DC6436" w:rsidRDefault="00DC6436">
      <w:pPr>
        <w:pStyle w:val="a7"/>
        <w:widowControl/>
        <w:spacing w:beforeAutospacing="0" w:afterAutospacing="0" w:line="560" w:lineRule="exact"/>
      </w:pPr>
    </w:p>
    <w:sectPr w:rsidR="00DC6436">
      <w:footerReference w:type="default" r:id="rId7"/>
      <w:pgSz w:w="11906" w:h="16838"/>
      <w:pgMar w:top="2098" w:right="1474" w:bottom="1984" w:left="1587"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8EB" w:rsidRDefault="00EA78EB">
      <w:r>
        <w:separator/>
      </w:r>
    </w:p>
  </w:endnote>
  <w:endnote w:type="continuationSeparator" w:id="0">
    <w:p w:rsidR="00EA78EB" w:rsidRDefault="00EA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文道星野宋">
    <w:charset w:val="86"/>
    <w:family w:val="auto"/>
    <w:pitch w:val="default"/>
    <w:sig w:usb0="00000283" w:usb1="180F0C10" w:usb2="00000012" w:usb3="00000000" w:csb0="00060001" w:csb1="00000000"/>
  </w:font>
  <w:font w:name="方正小标宋简体">
    <w:altName w:val="方正舒体"/>
    <w:charset w:val="86"/>
    <w:family w:val="auto"/>
    <w:pitch w:val="default"/>
    <w:sig w:usb0="00000000" w:usb1="00000000" w:usb2="00000012"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红豆小标宋简体">
    <w:altName w:val="方正小标宋_GBK"/>
    <w:charset w:val="86"/>
    <w:family w:val="auto"/>
    <w:pitch w:val="default"/>
    <w:sig w:usb0="00000000" w:usb1="00000000" w:usb2="00000012"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36" w:rsidRDefault="00EA78EB">
    <w:pPr>
      <w:pStyle w:val="a5"/>
    </w:pPr>
    <w:r>
      <w:pict>
        <v:shapetype id="_x0000_t202" coordsize="21600,21600" o:spt="202" path="m,l,21600r21600,l21600,xe">
          <v:stroke joinstyle="miter"/>
          <v:path gradientshapeok="t" o:connecttype="rect"/>
        </v:shapetype>
        <v:shape id="_x0000_s2049" type="#_x0000_t202" style="position:absolute;margin-left:92.8pt;margin-top:0;width:2in;height:2in;z-index:251659264;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C6436" w:rsidRDefault="00DC6436">
                <w:pPr>
                  <w:pStyle w:val="a5"/>
                  <w:rPr>
                    <w:rFonts w:ascii="宋体" w:eastAsia="宋体" w:hAnsi="宋体" w:cs="宋体"/>
                    <w:sz w:val="28"/>
                    <w:szCs w:val="28"/>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8EB" w:rsidRDefault="00EA78EB">
      <w:r>
        <w:separator/>
      </w:r>
    </w:p>
  </w:footnote>
  <w:footnote w:type="continuationSeparator" w:id="0">
    <w:p w:rsidR="00EA78EB" w:rsidRDefault="00EA7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ZhYzM0ZGY1YmFhYWZiZjgyNzdiNTQ0ZTU4MjU0YWIifQ=="/>
  </w:docVars>
  <w:rsids>
    <w:rsidRoot w:val="00076E5B"/>
    <w:rsid w:val="D5BEA8BA"/>
    <w:rsid w:val="D8BE54D9"/>
    <w:rsid w:val="DDDFCACC"/>
    <w:rsid w:val="EDFF8910"/>
    <w:rsid w:val="F77B47BD"/>
    <w:rsid w:val="FDBEA89A"/>
    <w:rsid w:val="FE4191D7"/>
    <w:rsid w:val="00070393"/>
    <w:rsid w:val="00076E5B"/>
    <w:rsid w:val="004318A1"/>
    <w:rsid w:val="005C70E4"/>
    <w:rsid w:val="0071054D"/>
    <w:rsid w:val="00AF16F5"/>
    <w:rsid w:val="00BB60E9"/>
    <w:rsid w:val="00CA3BAF"/>
    <w:rsid w:val="00D462EA"/>
    <w:rsid w:val="00DC6436"/>
    <w:rsid w:val="00E930F1"/>
    <w:rsid w:val="00EA6289"/>
    <w:rsid w:val="00EA78EB"/>
    <w:rsid w:val="01327E1C"/>
    <w:rsid w:val="0A095B5D"/>
    <w:rsid w:val="18AD2173"/>
    <w:rsid w:val="18C63235"/>
    <w:rsid w:val="1B81291B"/>
    <w:rsid w:val="21305E58"/>
    <w:rsid w:val="237A58AE"/>
    <w:rsid w:val="270E64D3"/>
    <w:rsid w:val="2A9C7CB2"/>
    <w:rsid w:val="2B81217E"/>
    <w:rsid w:val="2CED0CBE"/>
    <w:rsid w:val="2FFFC5A3"/>
    <w:rsid w:val="33E74334"/>
    <w:rsid w:val="36835CE5"/>
    <w:rsid w:val="37FF5067"/>
    <w:rsid w:val="3FFA2A6D"/>
    <w:rsid w:val="4447497A"/>
    <w:rsid w:val="4CCE5C39"/>
    <w:rsid w:val="55773231"/>
    <w:rsid w:val="60003F04"/>
    <w:rsid w:val="654C19E7"/>
    <w:rsid w:val="66CB1734"/>
    <w:rsid w:val="68DA00A1"/>
    <w:rsid w:val="6B0F76F1"/>
    <w:rsid w:val="77DF7783"/>
    <w:rsid w:val="7F2F0734"/>
    <w:rsid w:val="915ED677"/>
    <w:rsid w:val="95BB38BC"/>
    <w:rsid w:val="9B5DA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AD5B3B9-EC3B-4ECB-9CEE-6B23E69E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
    <w:qFormat/>
    <w:pPr>
      <w:adjustRightInd w:val="0"/>
    </w:pPr>
    <w:rPr>
      <w:rFonts w:ascii="仿宋_GB2312" w:eastAsia="仿宋_GB2312" w:hAnsi="文道星野宋"/>
      <w:sz w:val="30"/>
      <w:szCs w:val="30"/>
    </w:rPr>
  </w:style>
  <w:style w:type="paragraph" w:styleId="2">
    <w:name w:val="Body Text First Indent 2"/>
    <w:basedOn w:val="a4"/>
    <w:qFormat/>
    <w:pPr>
      <w:ind w:firstLine="420"/>
    </w:pPr>
  </w:style>
  <w:style w:type="paragraph" w:styleId="a4">
    <w:name w:val="Body Text Indent"/>
    <w:basedOn w:val="a"/>
    <w:qFormat/>
    <w:pPr>
      <w:ind w:firstLineChars="200" w:firstLine="600"/>
    </w:pPr>
    <w:rPr>
      <w:rFonts w:ascii="仿宋_GB2312" w:eastAsia="仿宋_GB2312" w:hAnsi="宋体"/>
      <w:sz w:val="30"/>
      <w:szCs w:val="30"/>
    </w:rPr>
  </w:style>
  <w:style w:type="paragraph" w:styleId="5">
    <w:name w:val="index 5"/>
    <w:basedOn w:val="a"/>
    <w:next w:val="a"/>
    <w:uiPriority w:val="99"/>
    <w:qFormat/>
    <w:pPr>
      <w:ind w:leftChars="800" w:left="800"/>
    </w:pPr>
  </w:style>
  <w:style w:type="paragraph" w:styleId="a5">
    <w:name w:val="footer"/>
    <w:basedOn w:val="a"/>
    <w:next w:val="5"/>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1"/>
    <w:qFormat/>
    <w:rPr>
      <w:b/>
    </w:rPr>
  </w:style>
  <w:style w:type="character" w:styleId="a9">
    <w:name w:val="FollowedHyperlink"/>
    <w:basedOn w:val="a1"/>
    <w:qFormat/>
    <w:rPr>
      <w:color w:val="800080"/>
      <w:u w:val="none"/>
    </w:rPr>
  </w:style>
  <w:style w:type="character" w:styleId="aa">
    <w:name w:val="Hyperlink"/>
    <w:basedOn w:val="a1"/>
    <w:qFormat/>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292</Words>
  <Characters>1666</Characters>
  <Application>Microsoft Office Word</Application>
  <DocSecurity>0</DocSecurity>
  <Lines>13</Lines>
  <Paragraphs>3</Paragraphs>
  <ScaleCrop>false</ScaleCrop>
  <Company>Microsoft</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4</cp:revision>
  <cp:lastPrinted>2022-10-21T16:42:00Z</cp:lastPrinted>
  <dcterms:created xsi:type="dcterms:W3CDTF">2022-10-25T16:04:00Z</dcterms:created>
  <dcterms:modified xsi:type="dcterms:W3CDTF">2022-12-12T07:32:00Z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CB6EBC6F0FCE499ABD4F117718B84095</vt:lpwstr>
  </property>
</Properties>
</file>