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hint="default" w:ascii="黑体" w:hAnsi="黑体" w:eastAsia="黑体" w:cs="黑体"/>
          <w:color w:val="46464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64646"/>
          <w:kern w:val="0"/>
          <w:sz w:val="32"/>
          <w:szCs w:val="32"/>
          <w:lang w:val="en-US" w:eastAsia="zh-CN"/>
        </w:rPr>
        <w:t>附件:</w:t>
      </w:r>
    </w:p>
    <w:p>
      <w:pPr>
        <w:widowControl/>
        <w:shd w:val="clear" w:color="auto" w:fill="FFFFFF"/>
        <w:spacing w:line="560" w:lineRule="atLeast"/>
        <w:jc w:val="center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bookmarkStart w:id="0" w:name="_GoBack"/>
      <w:bookmarkEnd w:id="0"/>
      <w:r>
        <w:rPr>
          <w:rFonts w:ascii="方正小标宋简体" w:hAnsi="Times New Roman" w:eastAsia="方正小标宋简体" w:cs="Times New Roman"/>
          <w:color w:val="464646"/>
          <w:kern w:val="0"/>
          <w:sz w:val="44"/>
          <w:szCs w:val="44"/>
        </w:rPr>
        <w:t>行政复议咨询委员会工作</w:t>
      </w:r>
      <w:r>
        <w:rPr>
          <w:rFonts w:hint="eastAsia" w:ascii="方正小标宋简体" w:hAnsi="Times New Roman" w:eastAsia="方正小标宋简体" w:cs="Times New Roman"/>
          <w:color w:val="464646"/>
          <w:kern w:val="0"/>
          <w:sz w:val="44"/>
          <w:szCs w:val="44"/>
        </w:rPr>
        <w:t>规定</w:t>
      </w:r>
    </w:p>
    <w:p>
      <w:pPr>
        <w:widowControl/>
        <w:shd w:val="clear" w:color="auto" w:fill="FFFFFF"/>
        <w:spacing w:line="560" w:lineRule="atLeast"/>
        <w:ind w:firstLine="641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为提升行政复议公信力，提高行政复议案件办理质量，根据中央全面依法治国委员会《行政复议体制改革方案》的要求，制定本</w:t>
      </w:r>
      <w:r>
        <w:rPr>
          <w:rFonts w:hint="eastAsia" w:ascii="仿宋_GB2312" w:hAnsi="Times New Roman" w:eastAsia="仿宋_GB2312" w:cs="Times New Roman"/>
          <w:color w:val="464646"/>
          <w:kern w:val="0"/>
          <w:sz w:val="32"/>
          <w:szCs w:val="32"/>
        </w:rPr>
        <w:t>规定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第一条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color w:val="464646"/>
          <w:kern w:val="0"/>
          <w:sz w:val="32"/>
          <w:szCs w:val="32"/>
        </w:rPr>
        <w:t>肃宁县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人民政府行政复议咨询委员会（以下简称咨询委员会）是县政府办理行政复议案件的专业咨询机构，为重大、疑难、复杂的行政复议案件提供咨询意见。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第二条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咨询委员会日常工作由县政府行政复议裁决办公室负责</w:t>
      </w:r>
      <w:r>
        <w:rPr>
          <w:rFonts w:ascii="仿宋_GB2312" w:hAnsi="Times New Roman" w:eastAsia="仿宋_GB2312" w:cs="Times New Roman"/>
          <w:color w:val="464646"/>
          <w:spacing w:val="-58"/>
          <w:kern w:val="0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主要职责为</w:t>
      </w:r>
      <w:r>
        <w:rPr>
          <w:rFonts w:ascii="仿宋_GB2312" w:hAnsi="Times New Roman" w:eastAsia="仿宋_GB2312" w:cs="Times New Roman"/>
          <w:color w:val="464646"/>
          <w:spacing w:val="-55"/>
          <w:kern w:val="0"/>
          <w:sz w:val="32"/>
          <w:szCs w:val="32"/>
        </w:rPr>
        <w:t>：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负责行政复议机构与咨询委员会以及委员之间的日常联系沟通</w:t>
      </w:r>
      <w:r>
        <w:rPr>
          <w:rFonts w:hint="eastAsia" w:ascii="仿宋_GB2312" w:hAnsi="微软雅黑" w:eastAsia="仿宋_GB2312" w:cs="宋体"/>
          <w:color w:val="464646"/>
          <w:spacing w:val="-91"/>
          <w:kern w:val="0"/>
          <w:sz w:val="32"/>
          <w:szCs w:val="32"/>
        </w:rPr>
        <w:t>；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分派咨询案件</w:t>
      </w:r>
      <w:r>
        <w:rPr>
          <w:rFonts w:ascii="仿宋_GB2312" w:hAnsi="Times New Roman" w:eastAsia="仿宋_GB2312" w:cs="Times New Roman"/>
          <w:color w:val="464646"/>
          <w:spacing w:val="-91"/>
          <w:kern w:val="0"/>
          <w:sz w:val="32"/>
          <w:szCs w:val="32"/>
        </w:rPr>
        <w:t>；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负责咨询案件材料收集</w:t>
      </w:r>
      <w:r>
        <w:rPr>
          <w:rFonts w:ascii="仿宋_GB2312" w:hAnsi="Times New Roman" w:eastAsia="仿宋_GB2312" w:cs="Times New Roman"/>
          <w:color w:val="464646"/>
          <w:spacing w:val="-91"/>
          <w:kern w:val="0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整理</w:t>
      </w:r>
      <w:r>
        <w:rPr>
          <w:rFonts w:ascii="仿宋_GB2312" w:hAnsi="Times New Roman" w:eastAsia="仿宋_GB2312" w:cs="Times New Roman"/>
          <w:color w:val="464646"/>
          <w:spacing w:val="-11"/>
          <w:kern w:val="0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归档等工作。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第三条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县司法局局长担任咨询委员会主任，县司法局分管行政复议工作负责人担任咨询委员会副主任。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咨询委员会委员由县政府有关部门、直属机构行政复议工作负责人</w:t>
      </w:r>
      <w:r>
        <w:rPr>
          <w:rFonts w:hint="eastAsia" w:ascii="仿宋_GB2312" w:hAnsi="微软雅黑" w:eastAsia="仿宋_GB2312" w:cs="宋体"/>
          <w:color w:val="464646"/>
          <w:kern w:val="0"/>
          <w:sz w:val="32"/>
          <w:szCs w:val="32"/>
        </w:rPr>
        <w:t>和部分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律师等组成。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第四条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咨询委员会委员报请县政府同意后由县司法局聘请，聘期三年，经续聘可以连任。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第五条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咨询委员会委员个人名义发表咨询意见</w:t>
      </w:r>
      <w:r>
        <w:rPr>
          <w:rFonts w:ascii="仿宋_GB2312" w:hAnsi="Times New Roman" w:eastAsia="仿宋_GB2312" w:cs="Times New Roman"/>
          <w:color w:val="464646"/>
          <w:spacing w:val="-115"/>
          <w:kern w:val="0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行政复议机构不得干预并予以保密。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第六条</w:t>
      </w:r>
      <w:r>
        <w:rPr>
          <w:rFonts w:ascii="Calibri" w:hAnsi="Calibri" w:eastAsia="黑体" w:cs="Calibri"/>
          <w:color w:val="464646"/>
          <w:kern w:val="0"/>
          <w:sz w:val="32"/>
          <w:szCs w:val="32"/>
        </w:rPr>
        <w:t> 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下列案件可以征询咨询委员会委员意见：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（一）案情敏感、复杂，具有较大社会影响的；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（二）涉及重大公共利益的；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（三）案件事实不清、证据认定存在重大分歧的；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（四）案件法律关系复杂、法律适用存在重大分歧的；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（五）涉及知识产权、新型产业等专门领域的专业性案件；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（六）其他需要咨询的有关案件。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第七条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行政复议案件需征询咨询委员会委员意见的，由案件承办人提出征询建议，报咨询委员会主任或副主任决定。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征询委员意见需由案件承办人提交《征询案件情况说明》，包括案件基本情况、存在问题、争议焦点、有关法律依据、提请征询事项和其他需要说明的问题等内容，并可附具案件调查核实的事实、证据、依据等相关材料。《征询案件情况说明》不能公开案件当事人信息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第八条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委员有下列情况之一的，应当自行回避：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（一）是本案的当事人或者与当事人有近亲属关系的；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（二）本人或者其近亲属与本案有利害关系的；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（三）担任过本案的证人、翻译人员、鉴定人、勘验人、诉讼代理人、辩护人的；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（四）与本案的诉讼代理人、辩护人有夫妻、父母、子女或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者兄弟姐妹关系的；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464646"/>
          <w:kern w:val="0"/>
          <w:sz w:val="32"/>
          <w:szCs w:val="32"/>
        </w:rPr>
        <w:t>五</w:t>
      </w:r>
      <w:r>
        <w:rPr>
          <w:rFonts w:ascii="仿宋_GB2312" w:hAnsi="Times New Roman" w:eastAsia="仿宋_GB2312" w:cs="Times New Roman"/>
          <w:color w:val="464646"/>
          <w:spacing w:val="-58"/>
          <w:kern w:val="0"/>
          <w:sz w:val="32"/>
          <w:szCs w:val="32"/>
        </w:rPr>
        <w:t>）</w:t>
      </w:r>
      <w:r>
        <w:rPr>
          <w:rFonts w:ascii="仿宋_GB2312" w:hAnsi="Times New Roman" w:eastAsia="仿宋_GB2312" w:cs="Times New Roman"/>
          <w:color w:val="464646"/>
          <w:spacing w:val="-4"/>
          <w:kern w:val="0"/>
          <w:sz w:val="32"/>
          <w:szCs w:val="32"/>
        </w:rPr>
        <w:t>与本案当事人之间存在其他利害关系，可能影响案件公正审理的。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第九条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委员不得有下列行为：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（一）私下会见本案一方当事人及其代理人的；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（二）为本案当事人推荐、介绍代理人，或者为其他人员介绍办理该案件的；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（三）索取、接受本案当事人及其受托人的财物、其他利益，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或者要求当事人及其受托人报销费用的；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（四）接受本案当事人及其受托人的宴请，或者参加由其支付费用的各项活动的；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（五）向本案当事人及其受托人借款，借用交通工具、通讯工具或者其他物品，或者索取、接受当事人及其受托人其他方面给予的好处的；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（六）向案件当事人及其受托人透漏案件秘密；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（七）有其他不正当行为，可能影响案件公正办理的。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第十条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咨询意见以召开论证会或者单独征询的方式取得</w:t>
      </w:r>
      <w:r>
        <w:rPr>
          <w:rFonts w:ascii="仿宋_GB2312" w:hAnsi="Times New Roman" w:eastAsia="仿宋_GB2312" w:cs="Times New Roman"/>
          <w:color w:val="464646"/>
          <w:spacing w:val="-11"/>
          <w:kern w:val="0"/>
          <w:sz w:val="32"/>
          <w:szCs w:val="32"/>
        </w:rPr>
        <w:t>。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召开论证会的，一般由</w:t>
      </w:r>
      <w:r>
        <w:rPr>
          <w:rFonts w:ascii="Times New Roman" w:hAnsi="Times New Roman" w:eastAsia="微软雅黑" w:cs="Times New Roman"/>
          <w:color w:val="464646"/>
          <w:spacing w:val="-80"/>
          <w:kern w:val="0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3</w:t>
      </w:r>
      <w:r>
        <w:rPr>
          <w:rFonts w:ascii="Times New Roman" w:hAnsi="Times New Roman" w:eastAsia="微软雅黑" w:cs="Times New Roman"/>
          <w:color w:val="464646"/>
          <w:spacing w:val="-80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至</w:t>
      </w:r>
      <w:r>
        <w:rPr>
          <w:rFonts w:ascii="Times New Roman" w:hAnsi="Times New Roman" w:eastAsia="微软雅黑" w:cs="Times New Roman"/>
          <w:color w:val="464646"/>
          <w:spacing w:val="-79"/>
          <w:kern w:val="0"/>
          <w:sz w:val="32"/>
          <w:szCs w:val="32"/>
        </w:rPr>
        <w:t> 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5</w:t>
      </w:r>
      <w:r>
        <w:rPr>
          <w:rFonts w:ascii="Times New Roman" w:hAnsi="Times New Roman" w:eastAsia="微软雅黑" w:cs="Times New Roman"/>
          <w:color w:val="464646"/>
          <w:spacing w:val="-80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名委员参加。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第十一条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委员可以列席案件听证会</w:t>
      </w:r>
      <w:r>
        <w:rPr>
          <w:rFonts w:ascii="仿宋_GB2312" w:hAnsi="Times New Roman" w:eastAsia="仿宋_GB2312" w:cs="Times New Roman"/>
          <w:color w:val="464646"/>
          <w:spacing w:val="-113"/>
          <w:kern w:val="0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调查会和行政复议</w:t>
      </w:r>
      <w:r>
        <w:rPr>
          <w:rFonts w:ascii="仿宋_GB2312" w:hAnsi="Times New Roman" w:eastAsia="仿宋_GB2312" w:cs="Times New Roman"/>
          <w:color w:val="464646"/>
          <w:spacing w:val="-11"/>
          <w:kern w:val="0"/>
          <w:sz w:val="32"/>
          <w:szCs w:val="32"/>
        </w:rPr>
        <w:t>机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构的集体讨论会。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第十二条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Calibri" w:hAnsi="Calibri" w:eastAsia="黑体" w:cs="Calibri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被征询的行政复议案件，结案时应当附具《征询案件审理报告》，包括征询到的意见、是否采纳及其理由等情况。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>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县政府行政复议办公室应当将《行政复议决定书》和《征询案件审理报告》一并向被征询委员进行反馈。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微软雅黑" w:hAnsi="微软雅黑" w:eastAsia="微软雅黑" w:cs="宋体"/>
          <w:color w:val="464646"/>
          <w:kern w:val="0"/>
          <w:sz w:val="24"/>
          <w:szCs w:val="24"/>
        </w:rPr>
      </w:pPr>
      <w:r>
        <w:rPr>
          <w:rFonts w:ascii="黑体" w:hAnsi="黑体" w:eastAsia="黑体" w:cs="Times New Roman"/>
          <w:color w:val="464646"/>
          <w:kern w:val="0"/>
          <w:sz w:val="32"/>
          <w:szCs w:val="32"/>
        </w:rPr>
        <w:t>第十三条</w:t>
      </w:r>
      <w:r>
        <w:rPr>
          <w:rFonts w:ascii="Times New Roman" w:hAnsi="Times New Roman" w:eastAsia="微软雅黑" w:cs="Times New Roman"/>
          <w:color w:val="464646"/>
          <w:kern w:val="0"/>
          <w:sz w:val="32"/>
          <w:szCs w:val="32"/>
        </w:rPr>
        <w:t xml:space="preserve">  </w:t>
      </w:r>
      <w:r>
        <w:rPr>
          <w:rFonts w:ascii="仿宋_GB2312" w:hAnsi="Times New Roman" w:eastAsia="仿宋_GB2312" w:cs="Times New Roman"/>
          <w:color w:val="464646"/>
          <w:kern w:val="0"/>
          <w:sz w:val="32"/>
          <w:szCs w:val="32"/>
        </w:rPr>
        <w:t>本规定自发布之日起施行。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5"/>
    <w:rsid w:val="006A7A13"/>
    <w:rsid w:val="007C4115"/>
    <w:rsid w:val="00944A01"/>
    <w:rsid w:val="00D44764"/>
    <w:rsid w:val="08E51733"/>
    <w:rsid w:val="362C5500"/>
    <w:rsid w:val="39AE5AA4"/>
    <w:rsid w:val="4CFA561A"/>
    <w:rsid w:val="5020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1184</Characters>
  <Lines>9</Lines>
  <Paragraphs>2</Paragraphs>
  <TotalTime>2</TotalTime>
  <ScaleCrop>false</ScaleCrop>
  <LinksUpToDate>false</LinksUpToDate>
  <CharactersWithSpaces>1389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2022-12-07T14:17:00Z</dcterms:created>
  <dc:creator>lu yanqun</dc:creator>
  <cp:lastModifiedBy>马中月</cp:lastModifiedBy>
  <dcterms:modified xsi:type="dcterms:W3CDTF">2022-12-09T06:24:50Z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