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0" w:beforeAutospacing="0" w:after="0" w:afterAutospacing="0" w:line="540" w:lineRule="atLeast"/>
        <w:ind w:left="0" w:right="0"/>
        <w:jc w:val="both"/>
        <w:rPr>
          <w:rFonts w:hint="eastAsia" w:ascii="黑体" w:hAnsi="黑体" w:eastAsia="黑体" w:cs="黑体"/>
          <w:b w:val="0"/>
          <w:bCs/>
          <w:color w:val="333333"/>
          <w:sz w:val="32"/>
          <w:szCs w:val="32"/>
          <w:bdr w:val="none" w:color="auto" w:sz="0" w:space="0"/>
          <w:lang w:val="en-US" w:eastAsia="zh-CN"/>
        </w:rPr>
      </w:pPr>
      <w:r>
        <w:rPr>
          <w:rFonts w:hint="eastAsia" w:ascii="黑体" w:hAnsi="黑体" w:eastAsia="黑体" w:cs="黑体"/>
          <w:b w:val="0"/>
          <w:bCs/>
          <w:color w:val="333333"/>
          <w:sz w:val="32"/>
          <w:szCs w:val="32"/>
          <w:bdr w:val="none" w:color="auto" w:sz="0" w:space="0"/>
          <w:lang w:eastAsia="zh-CN"/>
        </w:rPr>
        <w:t>附件</w:t>
      </w:r>
      <w:r>
        <w:rPr>
          <w:rFonts w:hint="eastAsia" w:ascii="黑体" w:hAnsi="黑体" w:eastAsia="黑体" w:cs="黑体"/>
          <w:b w:val="0"/>
          <w:bCs/>
          <w:color w:val="333333"/>
          <w:sz w:val="32"/>
          <w:szCs w:val="32"/>
          <w:bdr w:val="none" w:color="auto" w:sz="0" w:space="0"/>
          <w:lang w:val="en-US" w:eastAsia="zh-CN"/>
        </w:rPr>
        <w:t>2</w:t>
      </w:r>
    </w:p>
    <w:p>
      <w:pPr>
        <w:pStyle w:val="2"/>
        <w:keepNext w:val="0"/>
        <w:keepLines w:val="0"/>
        <w:widowControl/>
        <w:suppressLineNumbers w:val="0"/>
        <w:pBdr>
          <w:top w:val="none" w:color="auto" w:sz="0" w:space="0"/>
        </w:pBdr>
        <w:spacing w:before="0" w:beforeAutospacing="0" w:after="0" w:afterAutospacing="0" w:line="540" w:lineRule="atLeast"/>
        <w:ind w:left="0" w:right="0"/>
        <w:jc w:val="center"/>
        <w:rPr>
          <w:b/>
          <w:color w:val="333333"/>
          <w:sz w:val="33"/>
          <w:szCs w:val="33"/>
          <w:bdr w:val="none" w:color="auto" w:sz="0" w:space="0"/>
        </w:rPr>
      </w:pPr>
      <w:bookmarkStart w:id="0" w:name="_GoBack"/>
      <w:bookmarkEnd w:id="0"/>
    </w:p>
    <w:p>
      <w:pPr>
        <w:pStyle w:val="2"/>
        <w:keepNext w:val="0"/>
        <w:keepLines w:val="0"/>
        <w:widowControl/>
        <w:suppressLineNumbers w:val="0"/>
        <w:pBdr>
          <w:top w:val="none" w:color="auto" w:sz="0" w:space="0"/>
        </w:pBdr>
        <w:spacing w:before="0" w:beforeAutospacing="0" w:after="0" w:afterAutospacing="0" w:line="540" w:lineRule="atLeast"/>
        <w:ind w:left="0" w:right="0"/>
        <w:jc w:val="center"/>
        <w:rPr>
          <w:b/>
          <w:sz w:val="33"/>
          <w:szCs w:val="33"/>
        </w:rPr>
      </w:pPr>
      <w:r>
        <w:rPr>
          <w:b/>
          <w:color w:val="333333"/>
          <w:sz w:val="33"/>
          <w:szCs w:val="33"/>
          <w:bdr w:val="none" w:color="auto" w:sz="0" w:space="0"/>
        </w:rPr>
        <w:t>福州市新型冠状病毒感染肺炎疫情防控工作应急指挥部关于对风险区域入（返）榕人员健康管理的通告（第615期）</w:t>
      </w:r>
    </w:p>
    <w:p>
      <w:pPr>
        <w:pStyle w:val="6"/>
        <w:keepNext w:val="0"/>
        <w:keepLines w:val="0"/>
        <w:widowControl/>
        <w:suppressLineNumbers w:val="0"/>
        <w:spacing w:before="0" w:beforeAutospacing="0" w:after="0" w:afterAutospacing="0" w:line="330" w:lineRule="atLeast"/>
        <w:ind w:right="0"/>
        <w:jc w:val="center"/>
        <w:rPr>
          <w:rFonts w:hint="eastAsia" w:ascii="微软雅黑" w:hAnsi="微软雅黑" w:eastAsia="微软雅黑" w:cs="微软雅黑"/>
          <w:color w:val="333333"/>
          <w:spacing w:val="-6"/>
          <w:sz w:val="21"/>
          <w:szCs w:val="21"/>
        </w:rPr>
      </w:pPr>
      <w:r>
        <w:rPr>
          <w:rFonts w:hint="eastAsia" w:ascii="微软雅黑" w:hAnsi="微软雅黑" w:eastAsia="微软雅黑" w:cs="微软雅黑"/>
          <w:color w:val="333333"/>
          <w:spacing w:val="-6"/>
          <w:sz w:val="21"/>
          <w:szCs w:val="21"/>
        </w:rPr>
        <w:fldChar w:fldCharType="begin"/>
      </w:r>
      <w:r>
        <w:rPr>
          <w:rFonts w:hint="eastAsia" w:ascii="微软雅黑" w:hAnsi="微软雅黑" w:eastAsia="微软雅黑" w:cs="微软雅黑"/>
          <w:color w:val="333333"/>
          <w:spacing w:val="-6"/>
          <w:sz w:val="21"/>
          <w:szCs w:val="21"/>
        </w:rPr>
        <w:instrText xml:space="preserve"> HYPERLINK "http://www.fuzhou.gov.cn/zgfzzt/swjw/fzwj/wjgg/202212/t20221206_4481688.htm" </w:instrText>
      </w:r>
      <w:r>
        <w:rPr>
          <w:rFonts w:hint="eastAsia" w:ascii="微软雅黑" w:hAnsi="微软雅黑" w:eastAsia="微软雅黑" w:cs="微软雅黑"/>
          <w:color w:val="333333"/>
          <w:spacing w:val="-6"/>
          <w:sz w:val="21"/>
          <w:szCs w:val="21"/>
        </w:rPr>
        <w:fldChar w:fldCharType="separate"/>
      </w:r>
      <w:r>
        <w:rPr>
          <w:rStyle w:val="10"/>
          <w:rFonts w:hint="eastAsia" w:ascii="微软雅黑" w:hAnsi="微软雅黑" w:eastAsia="微软雅黑" w:cs="微软雅黑"/>
          <w:spacing w:val="-6"/>
          <w:sz w:val="21"/>
          <w:szCs w:val="21"/>
        </w:rPr>
        <w:t>http://www.fuzhou.gov.cn/zgfzzt/swjw/fzwj/wjgg/202212/t20221206_4481688.htm</w:t>
      </w:r>
      <w:r>
        <w:rPr>
          <w:rFonts w:hint="eastAsia" w:ascii="微软雅黑" w:hAnsi="微软雅黑" w:eastAsia="微软雅黑" w:cs="微软雅黑"/>
          <w:color w:val="333333"/>
          <w:spacing w:val="-6"/>
          <w:sz w:val="21"/>
          <w:szCs w:val="21"/>
        </w:rPr>
        <w:fldChar w:fldCharType="end"/>
      </w:r>
    </w:p>
    <w:p>
      <w:pPr>
        <w:pStyle w:val="6"/>
        <w:keepNext w:val="0"/>
        <w:keepLines w:val="0"/>
        <w:widowControl/>
        <w:suppressLineNumbers w:val="0"/>
        <w:spacing w:before="0" w:beforeAutospacing="0" w:after="0" w:afterAutospacing="0" w:line="330" w:lineRule="atLeast"/>
        <w:ind w:right="0"/>
        <w:jc w:val="center"/>
        <w:rPr>
          <w:rFonts w:hint="eastAsia" w:ascii="微软雅黑" w:hAnsi="微软雅黑" w:eastAsia="微软雅黑" w:cs="微软雅黑"/>
          <w:color w:val="333333"/>
          <w:spacing w:val="-6"/>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ascii="微软雅黑" w:hAnsi="微软雅黑" w:eastAsia="微软雅黑" w:cs="微软雅黑"/>
          <w:color w:val="333333"/>
          <w:sz w:val="21"/>
          <w:szCs w:val="21"/>
        </w:rPr>
        <w:t>截至12月6日8时，31个省（自治区、直辖市）和新疆生产建设兵团现有疫情高风险区33676个，低风险区1946个，涉31省和新疆生产建设兵团计309市。高、低风险区实时信息以国务院客户端（查询方法详见附件2）、各地区官方公告为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广大市民要深刻认识新冠肺炎疫情防控的复杂性及不确定性，始终绷紧疫情防控这根弦，克服麻痹思想、侥幸心理。为精准做好“外防输入、内防反弹”，降低疫情输入传播风险，现将有关事项通告如下：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一、高风险区入（返）榕人员：实施7天居家隔离医学观察（不符合条件的转集中隔离医学观察），措施实施时间以离开风险区域起算，已经超过7天的，需进行一次核酸检测，结果阴性方可解除健康管理。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二、国内重点地区入（返）榕人员：7天内有河北、河南、新疆、西藏、内蒙古、重庆、广东广州、甘肃兰州、青海西宁、四川成都、陕西西安、湖北武汉、北京朝阳等地区旅居史的入（返）榕人员，须第一时间主动向所在社区（村）、单位或酒店报备，抵榕时务请就近进行1次核酸检测，并配合属地落实“5天居家健康监测”管理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三、国内其他地区入（返）榕人员：需持48小时内核酸阴性证明，抵榕后严格落实“5天5检”（含落地检）和“3不准”（最后一次核酸检测结果出来前非必要不外出、不参加聚集性活动、不进入公共场所）。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四、近期我市市民如无必要，请勿前往风险区域（见附件1）。如确需前往，务必做好个人防护，准确记录好自己的活动轨迹；从风险区域入（返）榕的人员需持48小时内核酸阴性证明，入（返）榕后要第一时间主动向所在社区（村）、单位、酒店报备，并按我市相关防控要求落实健康管理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五、请广大市民朋友响应国家新冠病毒疫苗接种政策，特别是3至11岁儿童、60岁以上老年人要积极配合新冠疫苗接种工作，18岁以上市民第二针疫苗接种已满六个月的请尽快完成加强针接种，保护个人健康，降低感染和发病风险，共同构筑人群免疫屏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六、请广大市民朋友注意冷冻（藏）食品安全，密切关注政府部门发布的进口食品检疫信息；冷冻（藏）食品经营者应配合政府部门落实健康监测、核酸检测等防控措施。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七、请广大市民朋友时刻注意个人防护，保持安全社交距离，养成规范佩戴口罩（尤其是在乘坐公共交通工具和在公共场所活动时）、勤洗手、常通风、不扎堆、不聚集、少聚餐、分餐制等良好卫生习惯，倡导健康的生活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八、如出现发热、干咳、乏力、咽痛、嗅（味）觉减退、鼻塞、流涕、结膜炎、肌痛和腹泻等症状者，要佩戴医用外科口罩或以上级别口罩，及时到具有发热门诊（诊室）的医疗机构就诊并进行核酸检测，就医过程尽量避免乘坐公共交通工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九、对因瞒报、谎报、不配合落实我市防疫措施造成严重后果的，依法追究责任。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附件：1、风险区域一览表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       2、国务院客户端疫情风险等级查询葵花码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20" w:firstLineChars="0"/>
        <w:jc w:val="left"/>
        <w:textAlignment w:val="auto"/>
        <w:outlineLvl w:val="9"/>
      </w:pPr>
      <w:r>
        <w:rPr>
          <w:rFonts w:hint="eastAsia" w:ascii="微软雅黑" w:hAnsi="微软雅黑" w:eastAsia="微软雅黑" w:cs="微软雅黑"/>
          <w:color w:val="333333"/>
          <w:sz w:val="21"/>
          <w:szCs w:val="21"/>
        </w:rPr>
        <w:t> </w:t>
      </w:r>
    </w:p>
    <w:p>
      <w:pPr>
        <w:pStyle w:val="6"/>
        <w:keepNext w:val="0"/>
        <w:keepLines w:val="0"/>
        <w:widowControl/>
        <w:suppressLineNumbers w:val="0"/>
        <w:spacing w:before="0" w:beforeAutospacing="0" w:after="0" w:afterAutospacing="0" w:line="330" w:lineRule="atLeast"/>
        <w:ind w:left="0" w:right="0" w:firstLine="420"/>
      </w:pPr>
      <w:r>
        <w:rPr>
          <w:rFonts w:hint="eastAsia" w:ascii="微软雅黑" w:hAnsi="微软雅黑" w:eastAsia="微软雅黑" w:cs="微软雅黑"/>
          <w:color w:val="333333"/>
          <w:sz w:val="21"/>
          <w:szCs w:val="21"/>
        </w:rPr>
        <w:t> </w:t>
      </w:r>
    </w:p>
    <w:p>
      <w:pPr>
        <w:pStyle w:val="6"/>
        <w:keepNext w:val="0"/>
        <w:keepLines w:val="0"/>
        <w:widowControl/>
        <w:suppressLineNumbers w:val="0"/>
        <w:spacing w:before="0" w:beforeAutospacing="0" w:after="0" w:afterAutospacing="0" w:line="330" w:lineRule="atLeast"/>
        <w:ind w:left="0" w:right="0" w:firstLine="420"/>
        <w:jc w:val="right"/>
      </w:pPr>
      <w:r>
        <w:rPr>
          <w:rFonts w:hint="eastAsia" w:ascii="微软雅黑" w:hAnsi="微软雅黑" w:eastAsia="微软雅黑" w:cs="微软雅黑"/>
          <w:color w:val="333333"/>
          <w:sz w:val="21"/>
          <w:szCs w:val="21"/>
        </w:rPr>
        <w:t>福州市新型冠状病毒感染肺炎</w:t>
      </w:r>
      <w:r>
        <w:rPr>
          <w:rFonts w:hint="eastAsia" w:ascii="微软雅黑" w:hAnsi="微软雅黑" w:eastAsia="微软雅黑" w:cs="微软雅黑"/>
          <w:color w:val="333333"/>
          <w:sz w:val="24"/>
          <w:szCs w:val="24"/>
        </w:rPr>
        <w:t>疫情防控工作应急指挥部</w:t>
      </w:r>
    </w:p>
    <w:p>
      <w:pPr>
        <w:pStyle w:val="6"/>
        <w:keepNext w:val="0"/>
        <w:keepLines w:val="0"/>
        <w:widowControl/>
        <w:suppressLineNumbers w:val="0"/>
        <w:spacing w:before="0" w:beforeAutospacing="0" w:after="0" w:afterAutospacing="0" w:line="33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2022年12月6日</w:t>
      </w:r>
    </w:p>
    <w:p>
      <w:pPr>
        <w:pStyle w:val="6"/>
        <w:keepNext w:val="0"/>
        <w:keepLines w:val="0"/>
        <w:widowControl/>
        <w:suppressLineNumbers w:val="0"/>
        <w:spacing w:before="0" w:beforeAutospacing="0" w:after="0" w:afterAutospacing="0" w:line="330" w:lineRule="atLeast"/>
        <w:ind w:left="0" w:right="0" w:firstLine="420"/>
        <w:jc w:val="right"/>
        <w:rPr>
          <w:rFonts w:hint="eastAsia" w:ascii="微软雅黑" w:hAnsi="微软雅黑" w:eastAsia="微软雅黑" w:cs="微软雅黑"/>
          <w:color w:val="333333"/>
          <w:sz w:val="24"/>
          <w:szCs w:val="24"/>
        </w:rPr>
      </w:pPr>
    </w:p>
    <w:p>
      <w:pPr>
        <w:pStyle w:val="6"/>
        <w:keepNext w:val="0"/>
        <w:keepLines w:val="0"/>
        <w:widowControl/>
        <w:suppressLineNumbers w:val="0"/>
        <w:spacing w:before="0" w:beforeAutospacing="0" w:after="0" w:afterAutospacing="0" w:line="330" w:lineRule="atLeast"/>
        <w:ind w:left="0" w:right="0" w:firstLine="420"/>
        <w:jc w:val="right"/>
        <w:rPr>
          <w:rFonts w:hint="eastAsia" w:ascii="微软雅黑" w:hAnsi="微软雅黑" w:eastAsia="微软雅黑" w:cs="微软雅黑"/>
          <w:color w:val="333333"/>
          <w:sz w:val="24"/>
          <w:szCs w:val="24"/>
        </w:rPr>
      </w:pPr>
    </w:p>
    <w:p>
      <w:pPr>
        <w:pStyle w:val="6"/>
        <w:keepNext w:val="0"/>
        <w:keepLines w:val="0"/>
        <w:widowControl/>
        <w:suppressLineNumbers w:val="0"/>
        <w:spacing w:before="0" w:beforeAutospacing="0" w:after="0" w:afterAutospacing="0" w:line="330" w:lineRule="atLeast"/>
        <w:ind w:left="0" w:right="0" w:firstLine="420"/>
        <w:jc w:val="right"/>
        <w:rPr>
          <w:rFonts w:hint="eastAsia" w:ascii="微软雅黑" w:hAnsi="微软雅黑" w:eastAsia="微软雅黑" w:cs="微软雅黑"/>
          <w:color w:val="333333"/>
          <w:sz w:val="24"/>
          <w:szCs w:val="24"/>
        </w:rPr>
      </w:pPr>
    </w:p>
    <w:p>
      <w:pPr>
        <w:pStyle w:val="6"/>
        <w:keepNext w:val="0"/>
        <w:keepLines w:val="0"/>
        <w:widowControl/>
        <w:suppressLineNumbers w:val="0"/>
        <w:spacing w:before="0" w:beforeAutospacing="0" w:after="0" w:afterAutospacing="0" w:line="330" w:lineRule="atLeast"/>
        <w:ind w:left="0" w:right="0" w:firstLine="420"/>
        <w:jc w:val="right"/>
        <w:rPr>
          <w:rFonts w:hint="eastAsia" w:ascii="微软雅黑" w:hAnsi="微软雅黑" w:eastAsia="微软雅黑" w:cs="微软雅黑"/>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ascii="黑体" w:hAnsi="宋体" w:eastAsia="黑体" w:cs="黑体"/>
          <w:color w:val="333333"/>
          <w:spacing w:val="-6"/>
          <w:kern w:val="2"/>
          <w:sz w:val="32"/>
          <w:szCs w:val="32"/>
          <w:bdr w:val="none" w:color="auto" w:sz="0" w:space="0"/>
        </w:rPr>
        <w:t>附件</w:t>
      </w:r>
      <w:r>
        <w:rPr>
          <w:rFonts w:hint="default" w:ascii="Times New Roman" w:hAnsi="Times New Roman" w:eastAsia="黑体" w:cs="Times New Roman"/>
          <w:color w:val="333333"/>
          <w:spacing w:val="-6"/>
          <w:kern w:val="2"/>
          <w:sz w:val="32"/>
          <w:szCs w:val="32"/>
          <w:bdr w:val="none" w:color="auto" w:sz="0" w:space="0"/>
        </w:rPr>
        <w:t>1</w:t>
      </w:r>
      <w:r>
        <w:rPr>
          <w:rFonts w:hint="eastAsia" w:ascii="黑体" w:hAnsi="宋体" w:eastAsia="黑体" w:cs="黑体"/>
          <w:color w:val="333333"/>
          <w:spacing w:val="-6"/>
          <w:kern w:val="2"/>
          <w:sz w:val="32"/>
          <w:szCs w:val="32"/>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ascii="方正小标宋_GBK" w:hAnsi="方正小标宋_GBK" w:eastAsia="方正小标宋_GBK" w:cs="方正小标宋_GBK"/>
          <w:color w:val="333333"/>
          <w:spacing w:val="-6"/>
          <w:kern w:val="0"/>
          <w:sz w:val="32"/>
          <w:szCs w:val="32"/>
          <w:bdr w:val="none" w:color="auto" w:sz="0" w:space="0"/>
        </w:rPr>
        <w:t>风险区域一览表</w:t>
      </w:r>
    </w:p>
    <w:tbl>
      <w:tblPr>
        <w:tblW w:w="8519" w:type="dxa"/>
        <w:tblInd w:w="0" w:type="dxa"/>
        <w:shd w:val="clear"/>
        <w:tblLayout w:type="fixed"/>
        <w:tblCellMar>
          <w:top w:w="15" w:type="dxa"/>
          <w:left w:w="15" w:type="dxa"/>
          <w:bottom w:w="15" w:type="dxa"/>
          <w:right w:w="15" w:type="dxa"/>
        </w:tblCellMar>
      </w:tblPr>
      <w:tblGrid>
        <w:gridCol w:w="4258"/>
        <w:gridCol w:w="4261"/>
      </w:tblGrid>
      <w:tr>
        <w:tblPrEx>
          <w:shd w:val="clear"/>
          <w:tblLayout w:type="fixed"/>
          <w:tblCellMar>
            <w:top w:w="15" w:type="dxa"/>
            <w:left w:w="15" w:type="dxa"/>
            <w:bottom w:w="15" w:type="dxa"/>
            <w:right w:w="15" w:type="dxa"/>
          </w:tblCellMar>
        </w:tblPrEx>
        <w:trPr>
          <w:trHeight w:val="351" w:hRule="atLeast"/>
        </w:trPr>
        <w:tc>
          <w:tcPr>
            <w:tcW w:w="4258" w:type="dxa"/>
            <w:tcBorders>
              <w:top w:val="single" w:color="000000" w:sz="4" w:space="0"/>
              <w:left w:val="single" w:color="000000" w:sz="4" w:space="0"/>
              <w:bottom w:val="single" w:color="000000" w:sz="4" w:space="0"/>
              <w:right w:val="single" w:color="000000" w:sz="4" w:space="0"/>
            </w:tcBorders>
            <w:shd w:val="clear" w:color="auto" w:fill="BFBFB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宋体" w:hAnsi="宋体" w:eastAsia="宋体" w:cs="宋体"/>
                <w:b/>
                <w:color w:val="333333"/>
                <w:spacing w:val="-6"/>
                <w:kern w:val="0"/>
                <w:sz w:val="21"/>
                <w:szCs w:val="21"/>
                <w:bdr w:val="none" w:color="auto" w:sz="0" w:space="0"/>
                <w:lang w:val="en-US" w:eastAsia="zh-CN" w:bidi="ar"/>
              </w:rPr>
              <w:t>省(自治区、直辖市)</w:t>
            </w:r>
          </w:p>
        </w:tc>
        <w:tc>
          <w:tcPr>
            <w:tcW w:w="4261" w:type="dxa"/>
            <w:tcBorders>
              <w:top w:val="single" w:color="000000" w:sz="4" w:space="0"/>
              <w:left w:val="nil"/>
              <w:bottom w:val="single" w:color="000000" w:sz="4" w:space="0"/>
              <w:right w:val="single" w:color="000000" w:sz="4" w:space="0"/>
            </w:tcBorders>
            <w:shd w:val="clear" w:color="auto" w:fill="BFBFB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b/>
                <w:color w:val="333333"/>
                <w:spacing w:val="-6"/>
                <w:kern w:val="0"/>
                <w:sz w:val="21"/>
                <w:szCs w:val="21"/>
                <w:bdr w:val="none" w:color="auto" w:sz="0" w:space="0"/>
                <w:lang w:val="en-US" w:eastAsia="zh-CN" w:bidi="ar"/>
              </w:rPr>
              <w:t>市（州、盟、区）</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北京市</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西城区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朝阳区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丰台区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石景山区</w:t>
            </w:r>
          </w:p>
        </w:tc>
      </w:tr>
      <w:tr>
        <w:tblPrEx>
          <w:tblLayout w:type="fixed"/>
          <w:tblCellMar>
            <w:top w:w="15" w:type="dxa"/>
            <w:left w:w="15" w:type="dxa"/>
            <w:bottom w:w="15" w:type="dxa"/>
            <w:right w:w="15" w:type="dxa"/>
          </w:tblCellMar>
        </w:tblPrEx>
        <w:trPr>
          <w:trHeight w:val="405"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海淀区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门头沟区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房山区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通州区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顺义区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昌平区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大兴区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怀柔区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平谷区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密云区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延庆区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经济开发区</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天津市</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和平区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河东区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河西区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南开区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河北区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红桥区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西青区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津南区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北辰区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武清区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宝坻区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滨海新区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宁河区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静海区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蓟州区</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河北省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石家庄市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邯郸市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邢台市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张家口市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承德市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沧州市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廊坊市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雄县</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容城县</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山西省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太原市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大同市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阳泉市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长治市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晋城市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朔州市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晋中市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运城市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忻州市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临汾市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吕梁市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内蒙古自治区</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呼和浩特市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包头市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乌海市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赤峰市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通辽市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鄂尔多斯市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呼伦贝尔市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巴彦淖尔市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乌兰察布市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兴安盟</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锡林郭勒盟</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辽宁省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沈阳市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大连市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鞍山市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抚顺市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本溪市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丹东市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锦州市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营口市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阜新市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辽阳市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盘锦市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铁岭市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葫芦岛市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吉林省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长春市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吉林市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四平市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辽源市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通化市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白山市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松原市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延边朝鲜族自治州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长白山保护开发区</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黑龙江省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哈尔滨市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齐齐哈尔市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鸡西市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鹤岗市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双鸭山市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大庆市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伊春市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佳木斯市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七台河市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牡丹江市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黑河市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绥化市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大兴安岭地区</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上海市</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黄浦区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徐汇区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长宁区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静安区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普陀区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虹口区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杨浦区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闵行区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宝山区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嘉定区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浦东新区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金山区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松江区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青浦区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奉贤区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FF0000"/>
                <w:spacing w:val="-6"/>
                <w:kern w:val="0"/>
                <w:sz w:val="21"/>
                <w:szCs w:val="21"/>
                <w:bdr w:val="none" w:color="auto" w:sz="0" w:space="0"/>
                <w:lang w:val="en-US" w:eastAsia="zh-CN" w:bidi="ar"/>
              </w:rPr>
              <w:t>崇明区</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江苏省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南京市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无锡市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徐州市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苏州市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南通市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连云港市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盐城市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镇江市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泰州市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宿迁市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浙江省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杭州市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金华市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安徽省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蚌埠市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池州市</w:t>
            </w:r>
          </w:p>
        </w:tc>
      </w:tr>
      <w:tr>
        <w:tblPrEx>
          <w:tblLayout w:type="fixed"/>
          <w:tblCellMar>
            <w:top w:w="15" w:type="dxa"/>
            <w:left w:w="15" w:type="dxa"/>
            <w:bottom w:w="15" w:type="dxa"/>
            <w:right w:w="15" w:type="dxa"/>
          </w:tblCellMar>
        </w:tblPrEx>
        <w:trPr>
          <w:trHeight w:val="353"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福建省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福州市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厦门市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漳州市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龙岩市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宁德市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江西省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南昌市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景德镇市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九江市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抚州市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上饶市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山东省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济南市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青岛市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淄博市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枣庄市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东营市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烟台市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潍坊市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济宁市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泰安市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威海市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日照市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临沂市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德州市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聊城市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滨州市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菏泽市</w:t>
            </w:r>
          </w:p>
        </w:tc>
      </w:tr>
      <w:tr>
        <w:tblPrEx>
          <w:tblLayout w:type="fixed"/>
          <w:tblCellMar>
            <w:top w:w="15" w:type="dxa"/>
            <w:left w:w="15" w:type="dxa"/>
            <w:bottom w:w="15" w:type="dxa"/>
            <w:right w:w="15" w:type="dxa"/>
          </w:tblCellMar>
        </w:tblPrEx>
        <w:trPr>
          <w:trHeight w:val="353" w:hRule="atLeast"/>
        </w:trPr>
        <w:tc>
          <w:tcPr>
            <w:tcW w:w="4258" w:type="dxa"/>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河南省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郑州市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湖北省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武汉市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黄石市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襄阳市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鄂州市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荆门市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荆州市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黄冈市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随州市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湖南省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长沙市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株洲市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湘潭市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衡阳市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常德市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郴州市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永州市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怀化市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娄底市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广东省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广州市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韶关市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深圳市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珠海市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汕头市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FF0000"/>
                <w:spacing w:val="-6"/>
                <w:kern w:val="0"/>
                <w:sz w:val="21"/>
                <w:szCs w:val="21"/>
                <w:bdr w:val="none" w:color="auto" w:sz="0" w:space="0"/>
                <w:lang w:val="en-US" w:eastAsia="zh-CN" w:bidi="ar"/>
              </w:rPr>
              <w:t>佛山市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江门市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湛江市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肇庆市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茂名市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惠州市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河源市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清远市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东莞市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中山市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潮州市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揭阳市</w:t>
            </w:r>
          </w:p>
        </w:tc>
      </w:tr>
      <w:tr>
        <w:tblPrEx>
          <w:tblLayout w:type="fixed"/>
          <w:tblCellMar>
            <w:top w:w="15" w:type="dxa"/>
            <w:left w:w="15" w:type="dxa"/>
            <w:bottom w:w="15" w:type="dxa"/>
            <w:right w:w="15" w:type="dxa"/>
          </w:tblCellMar>
        </w:tblPrEx>
        <w:trPr>
          <w:trHeight w:val="353"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广西壮族自治区</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桂林市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来宾市</w:t>
            </w:r>
          </w:p>
        </w:tc>
      </w:tr>
      <w:tr>
        <w:tblPrEx>
          <w:tblLayout w:type="fixed"/>
          <w:tblCellMar>
            <w:top w:w="15" w:type="dxa"/>
            <w:left w:w="15" w:type="dxa"/>
            <w:bottom w:w="15" w:type="dxa"/>
            <w:right w:w="15" w:type="dxa"/>
          </w:tblCellMar>
        </w:tblPrEx>
        <w:trPr>
          <w:trHeight w:val="353"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海南省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海口市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三亚市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儋州市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琼海市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万宁市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定安县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屯昌县</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澄迈县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乐东黎族自治县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陵水黎族自治县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琼中黎族苗族自治县</w:t>
            </w:r>
          </w:p>
        </w:tc>
      </w:tr>
      <w:tr>
        <w:tblPrEx>
          <w:tblLayout w:type="fixed"/>
          <w:tblCellMar>
            <w:top w:w="15" w:type="dxa"/>
            <w:left w:w="15" w:type="dxa"/>
            <w:bottom w:w="15" w:type="dxa"/>
            <w:right w:w="15" w:type="dxa"/>
          </w:tblCellMar>
        </w:tblPrEx>
        <w:trPr>
          <w:trHeight w:val="353"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重庆市</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万州区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涪陵区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渝中区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大渡口区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江北区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沙坪坝区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九龙坡区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南岸区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北碚区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綦江区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大足区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渝北区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巴南区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黔江区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长寿区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江津区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合川区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南川区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璧山区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FF0000"/>
                <w:spacing w:val="-6"/>
                <w:kern w:val="0"/>
                <w:sz w:val="21"/>
                <w:szCs w:val="21"/>
                <w:bdr w:val="none" w:color="auto" w:sz="0" w:space="0"/>
                <w:lang w:val="en-US" w:eastAsia="zh-CN" w:bidi="ar"/>
              </w:rPr>
              <w:t>潼南区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铜梁区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荣昌区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开州区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梁平区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两江新区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万盛经开区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重庆高新区</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城口县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丰都县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垫江县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忠县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云阳县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奉节县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巫山县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巫溪县</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秀山土家族苗族自治县</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彭水苗族土家族自治县</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四川省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成都市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攀枝花市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泸州市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德阳市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绵阳市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广元市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内江市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南充市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眉山市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宜宾市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巴中市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阿坝藏族羌族自治州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凉山彝族自治州</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贵州省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贵阳市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遵义市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毕节市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铜仁市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黔南布依族苗族自治州</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云南省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昆明市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曲靖市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玉溪市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昭通市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丽江市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普洱市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临沧市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楚雄彝族自治州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红河哈尼族彝族自治州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文山壮族苗族自治州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大理白族自治州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德宏傣族景颇族自治州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迪庆藏族自治州</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西藏自治区</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拉萨市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FF0000"/>
                <w:spacing w:val="-6"/>
                <w:kern w:val="0"/>
                <w:sz w:val="21"/>
                <w:szCs w:val="21"/>
                <w:bdr w:val="none" w:color="auto" w:sz="0" w:space="0"/>
                <w:lang w:val="en-US" w:eastAsia="zh-CN" w:bidi="ar"/>
              </w:rPr>
              <w:t>日喀则市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昌都市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FF0000"/>
                <w:spacing w:val="-6"/>
                <w:kern w:val="0"/>
                <w:sz w:val="21"/>
                <w:szCs w:val="21"/>
                <w:bdr w:val="none" w:color="auto" w:sz="0" w:space="0"/>
                <w:lang w:val="en-US" w:eastAsia="zh-CN" w:bidi="ar"/>
              </w:rPr>
              <w:t>那曲市</w:t>
            </w:r>
          </w:p>
        </w:tc>
      </w:tr>
      <w:tr>
        <w:tblPrEx>
          <w:tblLayout w:type="fixed"/>
          <w:tblCellMar>
            <w:top w:w="15" w:type="dxa"/>
            <w:left w:w="15" w:type="dxa"/>
            <w:bottom w:w="15" w:type="dxa"/>
            <w:right w:w="15" w:type="dxa"/>
          </w:tblCellMar>
        </w:tblPrEx>
        <w:trPr>
          <w:trHeight w:val="353"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阿里地区</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陕西省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西安市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宝鸡市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咸阳市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渭南市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延安市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汉中市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榆林市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安康市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商洛市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杨凌示范区</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甘肃省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兰州市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武威市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庆阳市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定西市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临夏回族自治州</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青海省</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西宁市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海东市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海北藏族自治州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黄南藏族自治州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海南藏族自治州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玉树藏族自治州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海西蒙古族藏族自治州</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宁夏回族自治区</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银川市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石嘴山市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吴忠市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固原市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中卫市</w:t>
            </w:r>
          </w:p>
        </w:tc>
      </w:tr>
      <w:tr>
        <w:tblPrEx>
          <w:tblLayout w:type="fixed"/>
          <w:tblCellMar>
            <w:top w:w="15" w:type="dxa"/>
            <w:left w:w="15" w:type="dxa"/>
            <w:bottom w:w="15" w:type="dxa"/>
            <w:right w:w="15" w:type="dxa"/>
          </w:tblCellMar>
        </w:tblPrEx>
        <w:trPr>
          <w:trHeight w:val="352" w:hRule="atLeast"/>
        </w:trPr>
        <w:tc>
          <w:tcPr>
            <w:tcW w:w="4258" w:type="dxa"/>
            <w:vMerge w:val="restart"/>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新疆维吾尔自治区</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乌鲁木齐市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哈密市</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巴音郭楞蒙古自治州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阿克苏地区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克孜勒苏柯尔克孜自治州</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喀什地区</w:t>
            </w:r>
          </w:p>
        </w:tc>
      </w:tr>
      <w:tr>
        <w:tblPrEx>
          <w:tblLayout w:type="fixed"/>
          <w:tblCellMar>
            <w:top w:w="15" w:type="dxa"/>
            <w:left w:w="15" w:type="dxa"/>
            <w:bottom w:w="15" w:type="dxa"/>
            <w:right w:w="15" w:type="dxa"/>
          </w:tblCellMar>
        </w:tblPrEx>
        <w:trPr>
          <w:trHeight w:val="352" w:hRule="atLeast"/>
        </w:trPr>
        <w:tc>
          <w:tcPr>
            <w:tcW w:w="4258" w:type="dxa"/>
            <w:vMerge w:val="continue"/>
            <w:tcBorders>
              <w:top w:val="nil"/>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微软雅黑" w:hAnsi="微软雅黑" w:eastAsia="微软雅黑" w:cs="微软雅黑"/>
                <w:color w:val="333333"/>
                <w:sz w:val="21"/>
                <w:szCs w:val="21"/>
              </w:rPr>
            </w:pP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和田地区</w:t>
            </w:r>
          </w:p>
        </w:tc>
      </w:tr>
      <w:tr>
        <w:tblPrEx>
          <w:tblLayout w:type="fixed"/>
          <w:tblCellMar>
            <w:top w:w="15" w:type="dxa"/>
            <w:left w:w="15" w:type="dxa"/>
            <w:bottom w:w="15" w:type="dxa"/>
            <w:right w:w="15" w:type="dxa"/>
          </w:tblCellMar>
        </w:tblPrEx>
        <w:trPr>
          <w:trHeight w:val="353" w:hRule="atLeast"/>
        </w:trPr>
        <w:tc>
          <w:tcPr>
            <w:tcW w:w="4258" w:type="dxa"/>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新疆生产建设兵团</w:t>
            </w:r>
          </w:p>
        </w:tc>
        <w:tc>
          <w:tcPr>
            <w:tcW w:w="4261" w:type="dxa"/>
            <w:tcBorders>
              <w:top w:val="single" w:color="000000" w:sz="4" w:space="0"/>
              <w:left w:val="nil"/>
              <w:bottom w:val="single" w:color="000000"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center"/>
            </w:pPr>
            <w:r>
              <w:rPr>
                <w:rFonts w:hint="eastAsia" w:ascii="微软雅黑" w:hAnsi="微软雅黑" w:eastAsia="微软雅黑" w:cs="微软雅黑"/>
                <w:color w:val="333333"/>
                <w:spacing w:val="-6"/>
                <w:kern w:val="0"/>
                <w:sz w:val="21"/>
                <w:szCs w:val="21"/>
                <w:bdr w:val="none" w:color="auto" w:sz="0" w:space="0"/>
                <w:lang w:val="en-US" w:eastAsia="zh-CN" w:bidi="ar"/>
              </w:rPr>
              <w:t>第八师</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hint="default" w:ascii="Times New Roman" w:hAnsi="Times New Roman" w:eastAsia="方正小标宋_GBK" w:cs="Times New Roman"/>
          <w:color w:val="333333"/>
          <w:spacing w:val="-6"/>
          <w:kern w:val="0"/>
          <w:sz w:val="32"/>
          <w:szCs w:val="32"/>
          <w:bdr w:val="none" w:color="auto" w:sz="0" w:space="0"/>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center"/>
      </w:pPr>
      <w:r>
        <w:rPr>
          <w:rFonts w:hint="default" w:ascii="Times New Roman" w:hAnsi="Times New Roman" w:eastAsia="宋体" w:cs="Times New Roman"/>
          <w:color w:val="333333"/>
          <w:spacing w:val="-6"/>
          <w:kern w:val="0"/>
          <w:sz w:val="21"/>
          <w:szCs w:val="21"/>
          <w:bdr w:val="none" w:color="auto" w:sz="0" w:space="0"/>
        </w:rPr>
        <w:br w:type="page"/>
      </w:r>
      <w:r>
        <w:rPr>
          <w:rFonts w:hint="eastAsia" w:ascii="黑体" w:hAnsi="宋体" w:eastAsia="黑体" w:cs="黑体"/>
          <w:color w:val="333333"/>
          <w:spacing w:val="-6"/>
          <w:kern w:val="0"/>
          <w:sz w:val="32"/>
          <w:szCs w:val="32"/>
          <w:bdr w:val="none" w:color="auto" w:sz="0" w:space="0"/>
          <w:lang w:val="en-US" w:eastAsia="zh-CN" w:bidi="ar"/>
        </w:rPr>
        <w:t>附件</w:t>
      </w:r>
      <w:r>
        <w:rPr>
          <w:rFonts w:hint="default" w:ascii="Times New Roman" w:hAnsi="Times New Roman" w:eastAsia="黑体" w:cs="Times New Roman"/>
          <w:color w:val="333333"/>
          <w:spacing w:val="-6"/>
          <w:kern w:val="0"/>
          <w:sz w:val="32"/>
          <w:szCs w:val="32"/>
          <w:bdr w:val="none" w:color="auto" w:sz="0" w:space="0"/>
          <w:lang w:val="en-US" w:eastAsia="zh-CN" w:bidi="ar"/>
        </w:rPr>
        <w:t>2</w:t>
      </w:r>
      <w:r>
        <w:rPr>
          <w:rFonts w:hint="eastAsia" w:ascii="黑体" w:hAnsi="宋体" w:eastAsia="黑体" w:cs="黑体"/>
          <w:color w:val="333333"/>
          <w:spacing w:val="-6"/>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center"/>
      </w:pPr>
      <w:r>
        <w:rPr>
          <w:rFonts w:hint="default" w:ascii="Times New Roman" w:hAnsi="Times New Roman" w:eastAsia="黑体" w:cs="Times New Roman"/>
          <w:color w:val="333333"/>
          <w:spacing w:val="-6"/>
          <w:kern w:val="0"/>
          <w:sz w:val="32"/>
          <w:szCs w:val="32"/>
          <w:bdr w:val="none" w:color="auto" w:sz="0" w:space="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420"/>
        <w:jc w:val="center"/>
      </w:pPr>
      <w:r>
        <w:rPr>
          <w:rFonts w:hint="eastAsia" w:ascii="方正小标宋_GBK" w:hAnsi="方正小标宋_GBK" w:eastAsia="方正小标宋_GBK" w:cs="方正小标宋_GBK"/>
          <w:color w:val="333333"/>
          <w:spacing w:val="-6"/>
          <w:kern w:val="2"/>
          <w:sz w:val="44"/>
          <w:szCs w:val="44"/>
          <w:bdr w:val="none" w:color="auto" w:sz="0" w:space="0"/>
          <w:lang w:val="en-US" w:eastAsia="zh-CN" w:bidi="ar"/>
        </w:rPr>
        <w:t>国务院客户端疫情风险等级查询葵花码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420"/>
        <w:jc w:val="center"/>
      </w:pPr>
      <w:r>
        <w:rPr>
          <w:rFonts w:ascii="楷体_GB2312" w:hAnsi="Times New Roman" w:eastAsia="楷体_GB2312" w:cs="楷体_GB2312"/>
          <w:color w:val="333333"/>
          <w:spacing w:val="-6"/>
          <w:kern w:val="2"/>
          <w:sz w:val="32"/>
          <w:szCs w:val="32"/>
          <w:bdr w:val="none" w:color="auto" w:sz="0" w:space="0"/>
          <w:lang w:val="en-US" w:eastAsia="zh-CN" w:bidi="ar"/>
        </w:rPr>
        <w:t>（微信扫描下方葵花码）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420"/>
        <w:jc w:val="center"/>
      </w:pPr>
    </w:p>
    <w:p>
      <w:r>
        <w:rPr>
          <w:rFonts w:hint="eastAsia" w:ascii="楷体_GB2312" w:hAnsi="Times New Roman" w:eastAsia="楷体_GB2312" w:cs="楷体_GB2312"/>
          <w:color w:val="333333"/>
          <w:spacing w:val="-6"/>
          <w:kern w:val="2"/>
          <w:sz w:val="32"/>
          <w:szCs w:val="32"/>
          <w:lang w:val="en-US" w:eastAsia="zh-CN" w:bidi="ar"/>
        </w:rPr>
        <w:drawing>
          <wp:inline distT="0" distB="0" distL="114300" distR="114300">
            <wp:extent cx="5410200" cy="5476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410200" cy="5476875"/>
                    </a:xfrm>
                    <a:prstGeom prst="rect">
                      <a:avLst/>
                    </a:prstGeom>
                    <a:noFill/>
                    <a:ln w="9525">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36C16"/>
    <w:rsid w:val="1F2024C1"/>
    <w:rsid w:val="50936C16"/>
    <w:rsid w:val="5E471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Emphasis"/>
    <w:basedOn w:val="7"/>
    <w:qFormat/>
    <w:uiPriority w:val="0"/>
  </w:style>
  <w:style w:type="character" w:styleId="10">
    <w:name w:val="Hyperlink"/>
    <w:basedOn w:val="7"/>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2022-12-06T08:02:00Z</dcterms:created>
  <dc:creator>dell</dc:creator>
  <cp:lastModifiedBy>dell</cp:lastModifiedBy>
  <dcterms:modified xsi:type="dcterms:W3CDTF">2022-12-06T08:07:47Z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