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附件5</w:t>
      </w: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spacing w:line="600" w:lineRule="exact"/>
        <w:jc w:val="center"/>
        <w:rPr>
          <w:rFonts w:hint="default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报 考 指 南</w:t>
      </w:r>
    </w:p>
    <w:p>
      <w:pPr>
        <w:widowControl w:val="0"/>
        <w:spacing w:line="600" w:lineRule="exact"/>
        <w:jc w:val="left"/>
        <w:rPr>
          <w:rFonts w:hint="default" w:ascii="Times New Roman" w:hAnsi="Times New Roman" w:eastAsia="方正小标宋_GBK" w:cs="Times New Roman"/>
          <w:color w:val="auto"/>
          <w:sz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600" w:lineRule="exact"/>
        <w:ind w:left="640" w:leftChars="0"/>
        <w:jc w:val="left"/>
        <w:rPr>
          <w:rFonts w:hint="default" w:ascii="Times New Roman" w:hAnsi="Times New Roman" w:eastAsia="方正仿宋_GBK" w:cs="Times New Roman"/>
          <w:b/>
          <w:color w:val="auto"/>
          <w:sz w:val="32"/>
          <w:lang w:val="en-US" w:eastAsia="zh-CN"/>
        </w:rPr>
      </w:pPr>
      <w:r>
        <w:rPr>
          <w:rFonts w:hint="eastAsia" w:eastAsia="方正仿宋_GBK" w:cs="Times New Roman"/>
          <w:b/>
          <w:color w:val="auto"/>
          <w:sz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b/>
          <w:color w:val="auto"/>
          <w:sz w:val="32"/>
          <w:lang w:val="en-US" w:eastAsia="zh-CN"/>
        </w:rPr>
        <w:t>如何报名？</w:t>
      </w:r>
    </w:p>
    <w:p>
      <w:pPr>
        <w:widowControl w:val="0"/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sz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考生登录报名系统（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https://bm.gd-pa.cn/wsbm/hcrs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进入“惠</w:t>
      </w:r>
      <w:r>
        <w:rPr>
          <w:rFonts w:hint="eastAsia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州市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惠城区2022年硕博士研究生公开招聘”报名。报名系统登录成功后，先点击“填写简历”栏进行个人信息填报。完成个人信息填报并保存后，点击“进入报名”栏选择相应职位并确认报名即可完成报名手续。</w:t>
      </w:r>
    </w:p>
    <w:p>
      <w:pPr>
        <w:widowControl w:val="0"/>
        <w:numPr>
          <w:ilvl w:val="0"/>
          <w:numId w:val="0"/>
        </w:numPr>
        <w:spacing w:line="600" w:lineRule="exact"/>
        <w:ind w:firstLine="643" w:firstLineChars="200"/>
        <w:jc w:val="left"/>
        <w:rPr>
          <w:rFonts w:hint="default" w:ascii="Times New Roman" w:hAnsi="Times New Roman" w:eastAsia="方正仿宋_GBK" w:cs="Times New Roman"/>
          <w:b/>
          <w:color w:val="auto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color w:val="auto"/>
          <w:sz w:val="32"/>
          <w:lang w:val="en-US" w:eastAsia="zh-CN"/>
        </w:rPr>
        <w:t>2.网上报名是否进行资格审查，如何理解诚信报考？</w:t>
      </w:r>
    </w:p>
    <w:p>
      <w:pPr>
        <w:widowControl w:val="0"/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本次招聘网上报名实行诚信报考，报考人员所填写各项信息，确保信息真实、准确，上传的资料真实、有效。请报考人员认真阅读招聘公告、附件，严格遵守诚信承诺，结合自己的实际情况和招聘单位的岗位要求，选择与本人条件相符的岗位。报考人员如实填写有关信息，不得虚报、隐瞒有关情况，不得弄虚作假以骗取考试资格，不得为“试考”虚假报名，以免干扰正常的报名秩序、浪费国家资源。本人条件不符合招聘公告和所报考岗位条件要求的，成绩无效，一切后果由报考人员自负。</w:t>
      </w:r>
    </w:p>
    <w:p>
      <w:pPr>
        <w:widowControl w:val="0"/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网上报名后，由审核组对报考人员年龄、学历、</w:t>
      </w:r>
      <w:r>
        <w:rPr>
          <w:rFonts w:hint="eastAsia" w:eastAsia="方正仿宋_GBK" w:cs="Times New Roman"/>
          <w:color w:val="auto"/>
          <w:sz w:val="32"/>
          <w:lang w:val="en-US" w:eastAsia="zh-CN"/>
        </w:rPr>
        <w:t>专业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等资格条件进行在线初步审查，核实是否有影响报考的情形，提出人选资格审查意见报区委</w:t>
      </w:r>
      <w:r>
        <w:rPr>
          <w:rFonts w:hint="eastAsia" w:eastAsia="方正仿宋_GBK" w:cs="Times New Roman"/>
          <w:color w:val="auto"/>
          <w:sz w:val="32"/>
          <w:lang w:val="en-US" w:eastAsia="zh-CN"/>
        </w:rPr>
        <w:t>人才办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核准。同时，资格审查将贯穿招聘工作全过程，对提供情况不实的，发现后立即取消应聘资格。</w:t>
      </w:r>
    </w:p>
    <w:p>
      <w:pPr>
        <w:widowControl w:val="0"/>
        <w:numPr>
          <w:ilvl w:val="0"/>
          <w:numId w:val="0"/>
        </w:numPr>
        <w:spacing w:line="600" w:lineRule="exact"/>
        <w:ind w:firstLine="643" w:firstLineChars="200"/>
        <w:jc w:val="left"/>
        <w:rPr>
          <w:rFonts w:hint="default" w:ascii="Times New Roman" w:hAnsi="Times New Roman" w:eastAsia="方正仿宋_GBK" w:cs="Times New Roman"/>
          <w:b/>
          <w:color w:val="auto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color w:val="auto"/>
          <w:sz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/>
          <w:color w:val="auto"/>
          <w:sz w:val="32"/>
          <w:lang w:val="en-US" w:eastAsia="zh-CN"/>
        </w:rPr>
        <w:t>.考生报名注意</w:t>
      </w:r>
      <w:r>
        <w:rPr>
          <w:rFonts w:hint="eastAsia" w:ascii="Times New Roman" w:hAnsi="Times New Roman" w:eastAsia="方正仿宋_GBK" w:cs="Times New Roman"/>
          <w:b/>
          <w:color w:val="auto"/>
          <w:sz w:val="32"/>
          <w:lang w:val="en-US" w:eastAsia="zh-CN"/>
        </w:rPr>
        <w:t>事项</w:t>
      </w:r>
      <w:r>
        <w:rPr>
          <w:rFonts w:hint="default" w:ascii="Times New Roman" w:hAnsi="Times New Roman" w:eastAsia="方正仿宋_GBK" w:cs="Times New Roman"/>
          <w:b/>
          <w:color w:val="auto"/>
          <w:sz w:val="32"/>
          <w:lang w:val="en-US" w:eastAsia="zh-CN"/>
        </w:rPr>
        <w:t>？</w:t>
      </w:r>
    </w:p>
    <w:p>
      <w:pPr>
        <w:widowControl w:val="0"/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2022届国内普通高等院校毕业生受疫情</w:t>
      </w:r>
      <w:r>
        <w:rPr>
          <w:rFonts w:hint="eastAsia" w:eastAsia="方正仿宋_GBK" w:cs="Times New Roman"/>
          <w:color w:val="auto"/>
          <w:sz w:val="32"/>
          <w:lang w:val="en-US" w:eastAsia="zh-CN"/>
        </w:rPr>
        <w:t>等因素影响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尚未取得毕业证书、学位证书的，</w:t>
      </w:r>
      <w:r>
        <w:rPr>
          <w:rFonts w:hint="eastAsia" w:eastAsia="方正仿宋_GBK" w:cs="Times New Roman"/>
          <w:color w:val="auto"/>
          <w:sz w:val="32"/>
          <w:lang w:val="en-US" w:eastAsia="zh-CN"/>
        </w:rPr>
        <w:t>报名时可提交《毕业生就业推荐表》，并附毕业院校签章确认的所有学科考核成绩和本科阶段学历、学位证书复印件。考生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须在2022年12月31日以前提交相应毕业证书和学位证书，</w:t>
      </w:r>
      <w:r>
        <w:rPr>
          <w:rFonts w:hint="eastAsia" w:eastAsia="方正仿宋_GBK" w:cs="Times New Roman"/>
          <w:color w:val="auto"/>
          <w:sz w:val="32"/>
          <w:lang w:val="en-US" w:eastAsia="zh-CN"/>
        </w:rPr>
        <w:t>如未提交，取消资格，不予聘用。</w:t>
      </w:r>
    </w:p>
    <w:p>
      <w:pPr>
        <w:widowControl w:val="0"/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考生可在公告规定的报名时间内报名。填写报名信息必须真实、全面、准确，对学习和工作经历栏目，应按时间先后顺序，填写何年何月至何年何月在何地、何单位工作学习、任何职。对大学期间的学习经历，须填写清楚学校、院系、专业名称</w:t>
      </w:r>
      <w:r>
        <w:rPr>
          <w:rFonts w:hint="eastAsia" w:eastAsia="方正仿宋_GBK" w:cs="Times New Roman"/>
          <w:color w:val="auto"/>
          <w:sz w:val="32"/>
          <w:lang w:val="en-US" w:eastAsia="zh-CN"/>
        </w:rPr>
        <w:t>、学位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。家庭成员及主要社会关系不得漏填。</w:t>
      </w:r>
    </w:p>
    <w:p>
      <w:pPr>
        <w:widowControl w:val="0"/>
        <w:numPr>
          <w:ilvl w:val="0"/>
          <w:numId w:val="0"/>
        </w:numPr>
        <w:spacing w:line="600" w:lineRule="exact"/>
        <w:ind w:firstLine="643" w:firstLineChars="200"/>
        <w:jc w:val="left"/>
        <w:rPr>
          <w:rFonts w:hint="default" w:ascii="Times New Roman" w:hAnsi="Times New Roman" w:eastAsia="方正仿宋_GBK" w:cs="Times New Roman"/>
          <w:b/>
          <w:color w:val="auto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color w:val="auto"/>
          <w:sz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/>
          <w:color w:val="auto"/>
          <w:sz w:val="32"/>
          <w:lang w:val="en-US" w:eastAsia="zh-CN"/>
        </w:rPr>
        <w:t>.报考人员是否可以更改报考岗位？报名需要缴费吗？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报考人员通过资格审核后不能再改报其他岗位。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报名不需要缴费。</w:t>
      </w:r>
    </w:p>
    <w:p>
      <w:pPr>
        <w:widowControl w:val="0"/>
        <w:numPr>
          <w:ilvl w:val="0"/>
          <w:numId w:val="0"/>
        </w:numPr>
        <w:spacing w:line="600" w:lineRule="exact"/>
        <w:ind w:firstLine="643" w:firstLineChars="200"/>
        <w:jc w:val="left"/>
        <w:rPr>
          <w:rFonts w:hint="default" w:ascii="Times New Roman" w:hAnsi="Times New Roman" w:eastAsia="方正仿宋_GBK" w:cs="Times New Roman"/>
          <w:b/>
          <w:color w:val="auto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color w:val="auto"/>
          <w:sz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/>
          <w:color w:val="auto"/>
          <w:sz w:val="32"/>
          <w:lang w:val="en-US" w:eastAsia="zh-CN"/>
        </w:rPr>
        <w:t>.报考人员可否用非最高学历专业报考？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报考人员可以非最高学历专业报考，但须提供与招聘岗位专业要求一致的学历证书、学位证书等证明材料。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以非最高学历专业报考的其他要求？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国内普通高校202</w:t>
      </w:r>
      <w:r>
        <w:rPr>
          <w:rFonts w:hint="eastAsia" w:eastAsia="方正仿宋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年应届毕业生（非在职）以非最高学历报考的，须于202</w:t>
      </w:r>
      <w:r>
        <w:rPr>
          <w:rFonts w:hint="eastAsia" w:eastAsia="方正仿宋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年9月30日前取得最高学历毕业证书、学位证书；在境内就读的中外合作办学202</w:t>
      </w:r>
      <w:r>
        <w:rPr>
          <w:rFonts w:hint="eastAsia" w:eastAsia="方正仿宋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年应届毕业生（非在职）以非最高学历报考的，须于202</w:t>
      </w:r>
      <w:r>
        <w:rPr>
          <w:rFonts w:hint="eastAsia" w:eastAsia="方正仿宋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年12月31日前取得最高学历毕业证书、学位证书。其他报考人员以非最高学历报考的，须于面试资格审核前取得最高学历毕业证书和学位证书。逾期未取得的，不得聘用。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.国（境）外学历、学位人员需要提供哪些材料？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留学回国人员需提供由教育部留学服务中心出具的国</w:t>
      </w:r>
      <w:r>
        <w:rPr>
          <w:rFonts w:hint="default" w:ascii="Times New Roman" w:hAnsi="Times New Roman" w:eastAsia="方正仿宋_GBK" w:cs="Times New Roman"/>
          <w:color w:val="auto"/>
          <w:spacing w:val="-11"/>
          <w:kern w:val="0"/>
          <w:sz w:val="32"/>
          <w:szCs w:val="32"/>
          <w:u w:val="none"/>
          <w:lang w:val="en-US" w:eastAsia="zh-CN"/>
        </w:rPr>
        <w:t>（境）外学历、学位认证函等有关证明材料。报考人员可登录教育部留学服务中心网站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（http://www.cscse.edu.cn）查询认证的有关要求和程序。在国（境）内就读取得国（境）外学历、学位的人员，需取得由教育部所属的相关机构出具的学历、学位认证函。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630" w:leftChars="0"/>
        <w:textAlignment w:val="auto"/>
        <w:rPr>
          <w:rFonts w:hint="default" w:ascii="Times New Roman" w:hAnsi="Times New Roman" w:eastAsia="方正仿宋_GBK" w:cs="Times New Roman"/>
          <w:b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方正仿宋_GBK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/>
          <w:color w:val="auto"/>
          <w:kern w:val="0"/>
          <w:sz w:val="32"/>
          <w:szCs w:val="32"/>
          <w:u w:val="none"/>
          <w:lang w:eastAsia="zh-CN"/>
        </w:rPr>
        <w:t>考生应如何判断自己的专业？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u w:val="none"/>
          <w:lang w:eastAsia="zh-CN"/>
        </w:rPr>
        <w:t>考生所学专业按所获毕业证书上的专业为准。辅修专业、学位种类均不作为专业依据。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630" w:leftChars="0"/>
        <w:textAlignment w:val="auto"/>
        <w:rPr>
          <w:rFonts w:hint="default" w:ascii="Times New Roman" w:hAnsi="Times New Roman" w:eastAsia="方正仿宋_GBK" w:cs="Times New Roman"/>
          <w:b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/>
          <w:color w:val="auto"/>
          <w:kern w:val="0"/>
          <w:sz w:val="32"/>
          <w:szCs w:val="32"/>
          <w:u w:val="none"/>
          <w:lang w:eastAsia="zh-CN"/>
        </w:rPr>
        <w:t>考生应如何选择专业报考</w:t>
      </w:r>
      <w:r>
        <w:rPr>
          <w:rFonts w:hint="default" w:ascii="Times New Roman" w:hAnsi="Times New Roman" w:eastAsia="方正仿宋_GBK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eastAsia="zh-CN"/>
        </w:rPr>
        <w:t>招聘岗位专业条件参照《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专业参考目录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eastAsia="zh-CN"/>
        </w:rPr>
        <w:t>（以下简称《目录》）设置。考生所学专业已列入《目录》列表的，不得报考所学专业代码与招聘岗位专业代码不一致的岗位。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u w:val="none"/>
          <w:lang w:val="en-US" w:eastAsia="zh-CN"/>
        </w:rPr>
        <w:t>.考生若以相近专业报考有什么要求？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eastAsia="zh-CN"/>
        </w:rPr>
        <w:t>考生所学专业未列入《目录》的，可选择专业参考目录中的相近专业报考，所学专业必修课程须与报考职位要求专业的主要课程基本一致，并提供所学专业课程成绩单（须毕业院校盖章）、院校出具的课程对比情况说明及毕业院校设置专业的依据等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color w:val="auto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方正仿宋_GBK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eastAsia" w:eastAsia="方正仿宋_GBK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.报名期间</w:t>
      </w:r>
      <w:r>
        <w:rPr>
          <w:rFonts w:hint="default" w:ascii="Times New Roman" w:hAnsi="Times New Roman" w:eastAsia="方正仿宋_GBK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咨询电话和咨询时间？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报名期间，考生如有疑问，应先详细阅读公告、报考指南及岗位表等。如仍有疑问，可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联系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0752-2386511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中共惠州市惠城区委组织部人才股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）、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0752-7809306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惠城区人力资源社会保障局事业股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进行咨询。咨询时间为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月</w:t>
      </w:r>
      <w:r>
        <w:rPr>
          <w:rFonts w:hint="eastAsia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日至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eastAsia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月</w:t>
      </w:r>
      <w:r>
        <w:rPr>
          <w:rFonts w:hint="eastAsia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，上午9:00－12:00，下午2:30－5:30。工作人员仅对公告内容及政策给予解释，不对报考人员是否符合岗位条件进行确认。</w:t>
      </w:r>
      <w:bookmarkStart w:id="0" w:name="_GoBack"/>
      <w:bookmarkEnd w:id="0"/>
    </w:p>
    <w:sectPr>
      <w:footerReference r:id="rId3" w:type="default"/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iOTE0YmUyYzNmMWM0ZTI3YTNkZGM3ZWNjZmM3N2YifQ=="/>
  </w:docVars>
  <w:rsids>
    <w:rsidRoot w:val="00172A27"/>
    <w:rsid w:val="004342A2"/>
    <w:rsid w:val="010E67FF"/>
    <w:rsid w:val="03C01A90"/>
    <w:rsid w:val="05492F44"/>
    <w:rsid w:val="06105601"/>
    <w:rsid w:val="09C92175"/>
    <w:rsid w:val="09DF4EA2"/>
    <w:rsid w:val="0C9342E3"/>
    <w:rsid w:val="0D5B1367"/>
    <w:rsid w:val="0DCF1F9A"/>
    <w:rsid w:val="0E1A50E3"/>
    <w:rsid w:val="0F6940F2"/>
    <w:rsid w:val="0FD663D9"/>
    <w:rsid w:val="119B0694"/>
    <w:rsid w:val="13CD226E"/>
    <w:rsid w:val="15DF3CE2"/>
    <w:rsid w:val="167D73ED"/>
    <w:rsid w:val="17E04E7D"/>
    <w:rsid w:val="18CD3D15"/>
    <w:rsid w:val="1B775245"/>
    <w:rsid w:val="226F1CF7"/>
    <w:rsid w:val="23C378AD"/>
    <w:rsid w:val="245922A0"/>
    <w:rsid w:val="2463203D"/>
    <w:rsid w:val="24B457E3"/>
    <w:rsid w:val="26586D1F"/>
    <w:rsid w:val="27586B06"/>
    <w:rsid w:val="2A1B4715"/>
    <w:rsid w:val="2CD56F44"/>
    <w:rsid w:val="2ED518AB"/>
    <w:rsid w:val="326A7ACA"/>
    <w:rsid w:val="346356D7"/>
    <w:rsid w:val="374F67E0"/>
    <w:rsid w:val="3A3B1CF0"/>
    <w:rsid w:val="3AA92347"/>
    <w:rsid w:val="3BD7224B"/>
    <w:rsid w:val="3FB879F4"/>
    <w:rsid w:val="44370F0D"/>
    <w:rsid w:val="4533049C"/>
    <w:rsid w:val="482A32AD"/>
    <w:rsid w:val="48AC5FEF"/>
    <w:rsid w:val="49D44CEB"/>
    <w:rsid w:val="4B3379C8"/>
    <w:rsid w:val="4C5E3868"/>
    <w:rsid w:val="4D9C0285"/>
    <w:rsid w:val="4EA058B6"/>
    <w:rsid w:val="50091BA1"/>
    <w:rsid w:val="528E408C"/>
    <w:rsid w:val="53AA7F5B"/>
    <w:rsid w:val="56872CE7"/>
    <w:rsid w:val="57A558BF"/>
    <w:rsid w:val="57A80934"/>
    <w:rsid w:val="58FD306C"/>
    <w:rsid w:val="59684971"/>
    <w:rsid w:val="5A3D002F"/>
    <w:rsid w:val="5D3C0A2A"/>
    <w:rsid w:val="5FAF23FA"/>
    <w:rsid w:val="60741409"/>
    <w:rsid w:val="60A050EA"/>
    <w:rsid w:val="618B4783"/>
    <w:rsid w:val="62207A4E"/>
    <w:rsid w:val="62F90F61"/>
    <w:rsid w:val="63744F6D"/>
    <w:rsid w:val="63FA5249"/>
    <w:rsid w:val="6608196A"/>
    <w:rsid w:val="6ACE3AFA"/>
    <w:rsid w:val="6D294D9D"/>
    <w:rsid w:val="7177545B"/>
    <w:rsid w:val="75153306"/>
    <w:rsid w:val="75436168"/>
    <w:rsid w:val="76E56D24"/>
    <w:rsid w:val="77CB12FA"/>
    <w:rsid w:val="78120408"/>
    <w:rsid w:val="78552FB7"/>
    <w:rsid w:val="7960378B"/>
    <w:rsid w:val="7AF86637"/>
    <w:rsid w:val="7B02463D"/>
    <w:rsid w:val="7B1E7029"/>
    <w:rsid w:val="7B3F31CC"/>
    <w:rsid w:val="7E167F02"/>
    <w:rsid w:val="7E7D5D1D"/>
    <w:rsid w:val="7ED41086"/>
    <w:rsid w:val="7FF20A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0" w:semiHidden="0" w:name="header"/>
    <w:lsdException w:qFormat="1" w:uiPriority="0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iPriority="0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qFormat="1" w:uiPriority="99" w:semiHidden="0" w:name="Default Paragraph Font"/>
    <w:lsdException w:qFormat="1" w:unhideWhenUsed="0" w:uiPriority="99" w:semiHidden="0" w:name="Body Text"/>
    <w:lsdException w:qFormat="1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jc w:val="both"/>
    </w:pPr>
    <w:rPr>
      <w:rFonts w:hint="eastAsia" w:ascii="Times New Roman" w:hAnsi="Times New Roman" w:eastAsia="Times New Roman" w:cs="Times New Roman"/>
      <w:kern w:val="2"/>
      <w:sz w:val="21"/>
    </w:rPr>
  </w:style>
  <w:style w:type="character" w:default="1" w:styleId="6">
    <w:name w:val="Default Paragraph Font"/>
    <w:unhideWhenUsed/>
    <w:qFormat/>
    <w:uiPriority w:val="99"/>
    <w:rPr>
      <w:rFonts w:hint="default"/>
      <w:sz w:val="24"/>
    </w:rPr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</w:rPr>
  </w:style>
  <w:style w:type="character" w:styleId="7">
    <w:name w:val="page number"/>
    <w:basedOn w:val="6"/>
    <w:unhideWhenUsed/>
    <w:qFormat/>
    <w:uiPriority w:val="0"/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1621</Words>
  <Characters>1748</Characters>
  <TotalTime>1</TotalTime>
  <ScaleCrop>false</ScaleCrop>
  <LinksUpToDate>false</LinksUpToDate>
  <CharactersWithSpaces>1755</CharactersWithSpaces>
  <Application>WPS Office_11.8.2.8808_F1E327BC-269C-435d-A152-05C5408002CA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2021-10-29T07:28:00Z</dcterms:created>
  <dc:creator>Administrator</dc:creator>
  <cp:lastModifiedBy>Administrator</cp:lastModifiedBy>
  <cp:lastPrinted>2022-11-17T08:38:00Z</cp:lastPrinted>
  <dcterms:modified xsi:type="dcterms:W3CDTF">2022-11-25T02:51:55Z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0E4F9F37F3FE496ABBE2642C89787E3A</vt:lpwstr>
  </property>
</Properties>
</file>