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线上面试违纪行为认定及处理办法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（八）透漏个人信息的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E3YTlhYzFmODk5ZmQ0ODVkNTc1ZWQ5YWRiOGMifQ=="/>
  </w:docVars>
  <w:rsids>
    <w:rsidRoot w:val="32433569"/>
    <w:rsid w:val="32433569"/>
    <w:rsid w:val="765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1106</Words>
  <Characters>1106</Characters>
  <Lines>0</Lines>
  <Paragraphs>0</Paragraphs>
  <TotalTime>0</TotalTime>
  <ScaleCrop>false</ScaleCrop>
  <LinksUpToDate>false</LinksUpToDate>
  <CharactersWithSpaces>1116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2022-10-31T09:37:00Z</dcterms:created>
  <dc:creator>Bonues</dc:creator>
  <cp:lastModifiedBy>麦芽糖糖ぴ</cp:lastModifiedBy>
  <dcterms:modified xsi:type="dcterms:W3CDTF">2022-11-14T08:57:12Z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E1D097EC7F614D9C8597469B82649004</vt:lpwstr>
  </property>
</Properties>
</file>