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</w:pPr>
      <w:bookmarkStart w:id="0" w:name="bookmark2"/>
      <w:bookmarkStart w:id="1" w:name="bookmark1"/>
      <w:bookmarkStart w:id="2" w:name="bookmark0"/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内蒙古自治区申请认定教师资格人员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体检标准及办法</w:t>
      </w:r>
      <w:bookmarkEnd w:id="0"/>
      <w:bookmarkEnd w:id="1"/>
      <w:bookmarkEnd w:id="2"/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为了顺利实施教师资格制度，根据《教师资格条例》及其实施办法，特制定本标准及办法。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3" w:name="bookmark3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、参加体检的人员范围：申请各类教师资格的人员，除退（离）休人员外，均需参加体检。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4" w:name="bookmark4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、体检标准：体检的结论分合格、不合格两种，凡有下列情况之一者，均为体检不合格。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5" w:name="bookmark5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5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、患先天性心脏病者（经手术治愈者除外）、患频发性前期收缩者，患心肌病 及其他器质性心脏病者；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6" w:name="bookmark6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6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 xml:space="preserve">、血压超过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/>
        </w:rPr>
        <w:t xml:space="preserve">18. 66/12kpa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 xml:space="preserve">（140/90 毫米汞柱）,低于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/>
        </w:rPr>
        <w:t xml:space="preserve">11. 46/7. 46kpa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（86/56 毫米汞柱）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zh-CN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单项收缩压超过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/>
        </w:rPr>
        <w:t xml:space="preserve">21. 33kpa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（160毫米汞柱），低于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/>
        </w:rPr>
        <w:t xml:space="preserve">10. 66kpa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（80毫米</w:t>
      </w:r>
      <w:bookmarkStart w:id="15" w:name="_GoBack"/>
      <w:bookmarkEnd w:id="15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汞柱）；舒张压超过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/>
        </w:rPr>
        <w:t xml:space="preserve">12kpa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（90毫米汞柱），低于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/>
        </w:rPr>
        <w:t xml:space="preserve">6.66kpa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（50毫米汞柱）；使用降压药物后无治疗效果者。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7" w:name="bookmark7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3</w:t>
      </w:r>
      <w:bookmarkEnd w:id="7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、结核病患者，但下列人员除外：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患原发性肺结核、浸润肺结核，已硬结稳定者。患结核性胸膜炎已治愈，或治 愈后遗有胸膜肥厚者。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患肺外结核（肾结核、骨结核、腹膜结核等）、血行播散型肺结核治愈两年以 上经医院（或结核病防治所）专科检査无变化者。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患淋巴腺结核已临床治愈无症状者。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8" w:name="bookmark8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4</w:t>
      </w:r>
      <w:bookmarkEnd w:id="8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、患支气管扩张病者。或幼年时患过支气管哮喘病，之后仍复发者。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9" w:name="bookmark9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5</w:t>
      </w:r>
      <w:bookmarkEnd w:id="9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、患慢性肝炎且肝功能不正常者（肝原病原携带者，但肝功能正常者除外）。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10" w:name="bookmark10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6</w:t>
      </w:r>
      <w:bookmarkEnd w:id="10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、患各种恶性肿瘤、各种结缔组织疾病（胶原疾病）、内分泌系统疾病（如糖 尿病、尿崩病，肢端肥大症等）者。患血液病者（单纯缺铁性贫血除外）。患慢性肾炎者，或患急性肾炎治愈不足两年者。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11" w:name="bookmark11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7</w:t>
      </w:r>
      <w:bookmarkEnd w:id="11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、有癫痫病史、精神病史、癒病史、夜游症者。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12" w:name="bookmark12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8</w:t>
      </w:r>
      <w:bookmarkEnd w:id="12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、肺切除超过一叶、肺不张一叶以上者。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13" w:name="bookmark13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9</w:t>
      </w:r>
      <w:bookmarkEnd w:id="13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、患类风湿性脊柱强直病者，患慢性骨髓炎者。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14" w:name="bookmark14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14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0、患青光眼及视网膜、视神经疾病者（陈旧性或稳定性眼底病除外）。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11、两上肢或两下肢不能运用者。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12、两耳听力均在3米以内，或一耳听力在5米以内、另一耳全聋，或双耳全聋者（拟从事特殊教育的人员可视具体情况除外）。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13、屈光不正（近视眼或远视眼），镜尺度数大于800度，或单盲、双盲者（拟从事特殊教育的人员可视具体情况除外）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zh-CN" w:eastAsia="zh-CN"/>
        </w:rPr>
        <w:t>4、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口腔有生理缺陷或因耳鼻喉科疾病妨碍发音者（拟从事特殊教育的人员可视具体情况除外）。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15、面部有较大面积疤、麻、血管瘤或白瘢风、黑色素痣等。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16、除以上各项外，有其他影响健康和教学工作的疾病者。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三、体检机构：由各级教师资格管理机构指定的医院负责体检。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四、体检要求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1、教师资格申请人员体检工作是一项很重要和复杂的工作，各级有关部门要做 好宣传教育和组织工作。在体检时，要做好协调、指导、督促检査工作，并负责解决体检中的疑难问题。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、承担体检任务的医院要安排好一名业务副院长负责，并选调政治思想好、工作责任心强、作风正派、业务水平高的各科医师、护士和工作人员组成。人员安排要注意新老搭配，检査队伍要相对稳定，便于体检工作的顺利进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3、体检前应组织全体体检人员认真学习国家的有关规定和本办法，对负责体检 的人员进行必要的培训，制定相应的措施和奖惩制度。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4、体检过程中，体检表、检验单应指定专人传递和集中保管，不准让申请人员 自带。进行X光胸透时，要指定专人组织，排好顺序逐个对照检査，以防漏检或作 弊。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5、参加体检的各科医生对本科所检的项目负责。不要漏填或错填。发现阳性体征，一律如实记入体检表内，不得随意涂改。如确需更正的，应在更改的结果上面横腰划一条横杠，使原来更改的字迹能清晰可见，然后在右边写上更改后论断或数据，主检医生在更改后要签名，并加盖体检医院公章，以示负责。疾病名称、化验结果及体检结论，均应用中文填写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6、体检中若发现有疑难问题，应釆取集体会诊或进一步检査后再下结论。若因设备条件限制或会诊仍难判断者，到教师资格管理机构指定的上级医院复査。复査时，只限单科复査，并用原体检表。复査时要指派专人陪同，上级医院对体检站的 诊断结论否定时，要在诊断证明书上详注复査结果。资格认定申请人员自行取得的任何检査材料，均不得作为资格认定健康状况的依据。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zh-CN" w:eastAsia="zh-CN"/>
        </w:rPr>
        <w:t>7、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体检工作人员要准备好检査所需器材、药液和试剂。器械应及时消毒，仪表要每日校正，试剂要保证其浓度，确保检査结果的准确。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8、主检医师及时综合各科检査结果，全面检査无误后作岀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“合格”或“不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合格” 的结论，填写在结论栏内。医院根据体检综合情况，对资格认定健康状况下定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zh-CN" w:eastAsia="zh-CN"/>
        </w:rPr>
        <w:t xml:space="preserve">“合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格”或“不合格”的结论，加盖公章，并通知申请人员取体检表。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9、对申请人员进行健康检査是一项严肃的工作，体检时各个环节都要把好关， 要实事求是，不得弄虚作假，如发现弄虚作假者，除取消本人认定资格外，对贵任 人要严肃处理。体检医院出现严重问题者，教师资格管理机构要及时取消其体检资格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10、负责体检的医院要紧密配合，提高效率，体检时间一般不超过7个工作日, 情况特殊者要及时告知申请人员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sectPr>
      <w:footerReference r:id="rId5" w:type="default"/>
      <w:footnotePr>
        <w:numFmt w:val="decimal"/>
      </w:footnotePr>
      <w:pgSz w:w="12191" w:h="15819"/>
      <w:pgMar w:top="1440" w:right="1800" w:bottom="1440" w:left="1800" w:header="1124" w:footer="1121" w:gutter="0"/>
      <w:pgNumType w:fmt="numberInDash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92974"/>
    <w:rsid w:val="00EB5D44"/>
    <w:rsid w:val="097F55C5"/>
    <w:rsid w:val="09E301A7"/>
    <w:rsid w:val="0B0C0705"/>
    <w:rsid w:val="11D61AED"/>
    <w:rsid w:val="1CFC1308"/>
    <w:rsid w:val="1D3D508C"/>
    <w:rsid w:val="25E74059"/>
    <w:rsid w:val="2C794730"/>
    <w:rsid w:val="2F9F5BDC"/>
    <w:rsid w:val="330C1444"/>
    <w:rsid w:val="332752CA"/>
    <w:rsid w:val="3585385E"/>
    <w:rsid w:val="362F0319"/>
    <w:rsid w:val="3BCF475C"/>
    <w:rsid w:val="41B2144E"/>
    <w:rsid w:val="42F106D7"/>
    <w:rsid w:val="465E089D"/>
    <w:rsid w:val="485479A8"/>
    <w:rsid w:val="49792974"/>
    <w:rsid w:val="497C0600"/>
    <w:rsid w:val="49D2484C"/>
    <w:rsid w:val="4C7119BF"/>
    <w:rsid w:val="4CB944E1"/>
    <w:rsid w:val="4F2463B2"/>
    <w:rsid w:val="512C3D2E"/>
    <w:rsid w:val="531706BA"/>
    <w:rsid w:val="543056AD"/>
    <w:rsid w:val="5B286760"/>
    <w:rsid w:val="610808B6"/>
    <w:rsid w:val="61C972DE"/>
    <w:rsid w:val="643A74E2"/>
    <w:rsid w:val="68CB7F7F"/>
    <w:rsid w:val="690E4D58"/>
    <w:rsid w:val="6A0A45CF"/>
    <w:rsid w:val="6A35462D"/>
    <w:rsid w:val="6C536782"/>
    <w:rsid w:val="6CA31F27"/>
    <w:rsid w:val="6D1405C0"/>
    <w:rsid w:val="6DA24ACF"/>
    <w:rsid w:val="6F5D7C1E"/>
    <w:rsid w:val="6F694736"/>
    <w:rsid w:val="70633600"/>
    <w:rsid w:val="724A375E"/>
    <w:rsid w:val="7E982616"/>
    <w:rsid w:val="7F2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1|1"/>
    <w:basedOn w:val="1"/>
    <w:qFormat/>
    <w:uiPriority w:val="0"/>
    <w:pPr>
      <w:widowControl w:val="0"/>
      <w:shd w:val="clear" w:color="auto" w:fill="auto"/>
      <w:ind w:firstLine="500"/>
      <w:outlineLvl w:val="0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19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line="319" w:lineRule="exact"/>
      <w:ind w:firstLine="5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2019-10-24T02:59:00Z</dcterms:created>
  <dc:creator>#</dc:creator>
  <cp:lastModifiedBy>Administrator</cp:lastModifiedBy>
  <cp:lastPrinted>2019-10-24T03:36:00Z</cp:lastPrinted>
  <dcterms:modified xsi:type="dcterms:W3CDTF">2021-11-10T03:44:33Z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EB23C93877554CCDA38D1ADF93407D6B</vt:lpwstr>
  </property>
</Properties>
</file>