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shd w:val="clear" w:color="auto" w:fill="FFFFFF"/>
          <w:lang w:eastAsia="zh-CN"/>
        </w:rPr>
      </w:pPr>
      <w:r>
        <w:rPr>
          <w:rFonts w:hint="eastAsia" w:ascii="宋体" w:hAnsi="宋体" w:eastAsia="宋体" w:cs="宋体"/>
          <w:b/>
          <w:bCs/>
          <w:color w:val="000000" w:themeColor="text1"/>
          <w:sz w:val="32"/>
          <w:szCs w:val="32"/>
          <w:shd w:val="clear" w:color="auto" w:fill="FFFFFF"/>
        </w:rPr>
        <w:t>附件</w:t>
      </w:r>
      <w:r>
        <w:rPr>
          <w:rFonts w:hint="eastAsia" w:ascii="宋体" w:hAnsi="宋体" w:eastAsia="宋体" w:cs="宋体"/>
          <w:b/>
          <w:bCs/>
          <w:color w:val="000000" w:themeColor="text1"/>
          <w:sz w:val="32"/>
          <w:szCs w:val="32"/>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rPr>
      </w:pPr>
      <w:bookmarkStart w:id="0" w:name="_GoBack"/>
      <w:bookmarkEnd w:id="0"/>
      <w:r>
        <w:rPr>
          <w:rFonts w:hint="eastAsia" w:ascii="方正公文小标宋" w:hAnsi="方正公文小标宋" w:eastAsia="方正公文小标宋" w:cs="方正公文小标宋"/>
          <w:color w:val="000000" w:themeColor="text1"/>
          <w:sz w:val="36"/>
          <w:szCs w:val="36"/>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2.健康码为绿码考生须提供开考前</w:t>
      </w:r>
      <w:r>
        <w:rPr>
          <w:rFonts w:hint="eastAsia" w:cs="宋体" w:asciiTheme="minorEastAsia" w:hAnsiTheme="minorEastAsia"/>
          <w:color w:val="000000" w:themeColor="text1"/>
          <w:sz w:val="30"/>
          <w:szCs w:val="30"/>
          <w:shd w:val="clear" w:color="auto" w:fill="FFFFFF"/>
          <w:lang w:val="en-US" w:eastAsia="zh-CN"/>
        </w:rPr>
        <w:t>纸质版或电子版考前72小时内1次核酸检测阴性的证明</w:t>
      </w:r>
      <w:r>
        <w:rPr>
          <w:rFonts w:hint="eastAsia" w:cs="宋体" w:asciiTheme="minorEastAsia" w:hAnsiTheme="minorEastAsia"/>
          <w:color w:val="000000" w:themeColor="text1"/>
          <w:sz w:val="30"/>
          <w:szCs w:val="30"/>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shd w:val="clear" w:color="auto" w:fill="FFFFFF"/>
        </w:rPr>
      </w:pPr>
      <w:r>
        <w:rPr>
          <w:rFonts w:hint="eastAsia" w:cs="宋体" w:asciiTheme="minorEastAsia" w:hAnsiTheme="minorEastAsia"/>
          <w:color w:val="000000" w:themeColor="text1"/>
          <w:sz w:val="30"/>
          <w:szCs w:val="30"/>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（1）考前7天内有过发热（体温超过37.3℃）、咳嗽、气促等症状但排除新冠病毒感染的考生，须提供开考前</w:t>
      </w:r>
      <w:r>
        <w:rPr>
          <w:rFonts w:hint="eastAsia" w:cs="宋体" w:asciiTheme="minorEastAsia" w:hAnsiTheme="minorEastAsia"/>
          <w:color w:val="000000" w:themeColor="text1"/>
          <w:sz w:val="30"/>
          <w:szCs w:val="30"/>
          <w:shd w:val="clear" w:color="auto" w:fill="FFFFFF"/>
          <w:lang w:val="en-US" w:eastAsia="zh-CN"/>
        </w:rPr>
        <w:t>纸质版或电子版考前72小时内1次核酸检测阴性的证明</w:t>
      </w:r>
      <w:r>
        <w:rPr>
          <w:rFonts w:hint="eastAsia" w:cs="宋体" w:asciiTheme="minorEastAsia" w:hAnsiTheme="minorEastAsia"/>
          <w:color w:val="000000" w:themeColor="text1"/>
          <w:sz w:val="30"/>
          <w:szCs w:val="30"/>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次核酸检测阴性证明，否则不得参加考试。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shd w:val="clear" w:color="auto" w:fill="FFFFFF"/>
          <w:lang w:eastAsia="zh-CN"/>
        </w:rPr>
        <w:t>儋州市人民医院官网</w:t>
      </w:r>
      <w:r>
        <w:rPr>
          <w:rFonts w:hint="eastAsia" w:cs="宋体" w:asciiTheme="minorEastAsia" w:hAnsiTheme="minorEastAsia"/>
          <w:color w:val="000000" w:themeColor="text1"/>
          <w:sz w:val="30"/>
          <w:szCs w:val="30"/>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2.考生出示“健康码”、“通信大数据行程卡”、开考前</w:t>
      </w:r>
      <w:r>
        <w:rPr>
          <w:rFonts w:hint="eastAsia" w:cs="宋体" w:asciiTheme="minorEastAsia" w:hAnsiTheme="minorEastAsia"/>
          <w:color w:val="000000" w:themeColor="text1"/>
          <w:sz w:val="30"/>
          <w:szCs w:val="30"/>
          <w:shd w:val="clear" w:color="auto" w:fill="FFFFFF"/>
          <w:lang w:val="en-US" w:eastAsia="zh-CN"/>
        </w:rPr>
        <w:t>纸质版或电子版考前72小时内1次核酸检测阴性的证明</w:t>
      </w:r>
      <w:r>
        <w:rPr>
          <w:rFonts w:hint="eastAsia" w:cs="宋体" w:asciiTheme="minorEastAsia" w:hAnsiTheme="minorEastAsia"/>
          <w:color w:val="000000" w:themeColor="text1"/>
          <w:sz w:val="30"/>
          <w:szCs w:val="30"/>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r>
              <w:rPr>
                <w:rFonts w:hint="eastAsia" w:ascii="宋体" w:hAnsi="宋体" w:eastAsia="宋体" w:cs="宋体"/>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rPr>
      </w:pPr>
      <w:r>
        <w:rPr>
          <w:rFonts w:hint="eastAsia" w:ascii="宋体" w:hAnsi="宋体" w:eastAsia="宋体" w:cs="宋体"/>
          <w:color w:val="000000" w:themeColor="text1"/>
          <w:kern w:val="0"/>
          <w:sz w:val="30"/>
          <w:szCs w:val="30"/>
          <w:shd w:val="clear" w:color="auto" w:fill="FFFFFF"/>
        </w:rPr>
        <w:t>    </w:t>
      </w:r>
      <w:r>
        <w:rPr>
          <w:rFonts w:hint="eastAsia" w:cs="宋体" w:asciiTheme="minorEastAsia" w:hAnsiTheme="minorEastAsia"/>
          <w:color w:val="000000" w:themeColor="text1"/>
          <w:kern w:val="0"/>
          <w:sz w:val="30"/>
          <w:szCs w:val="30"/>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rPr>
            </w:pPr>
          </w:p>
        </w:tc>
        <w:tc>
          <w:tcPr>
            <w:tcW w:w="0" w:type="auto"/>
            <w:shd w:val="clear" w:color="auto" w:fill="FFFFFF"/>
            <w:vAlign w:val="center"/>
          </w:tcPr>
          <w:p>
            <w:pPr>
              <w:widowControl/>
              <w:jc w:val="left"/>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rPr>
      </w:pPr>
      <w:r>
        <w:rPr>
          <w:rFonts w:hint="eastAsia" w:ascii="宋体" w:hAnsi="宋体" w:eastAsia="宋体" w:cs="宋体"/>
          <w:color w:val="000000" w:themeColor="text1"/>
          <w:kern w:val="0"/>
          <w:sz w:val="32"/>
          <w:szCs w:val="32"/>
          <w:shd w:val="clear" w:color="auto" w:fill="FFFFFF"/>
        </w:rPr>
        <w:t>    </w:t>
      </w:r>
      <w:r>
        <w:rPr>
          <w:rFonts w:hint="eastAsia" w:cs="宋体" w:asciiTheme="majorEastAsia" w:hAnsiTheme="majorEastAsia" w:eastAsiaTheme="majorEastAsia"/>
          <w:color w:val="000000" w:themeColor="text1"/>
          <w:kern w:val="0"/>
          <w:sz w:val="32"/>
          <w:szCs w:val="32"/>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rPr>
      </w:pPr>
      <w:r>
        <w:rPr>
          <w:rFonts w:hint="eastAsia" w:cs="宋体" w:asciiTheme="majorEastAsia" w:hAnsiTheme="majorEastAsia" w:eastAsiaTheme="majorEastAsia"/>
          <w:color w:val="000000" w:themeColor="text1"/>
          <w:sz w:val="32"/>
          <w:szCs w:val="32"/>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EEB86D47-2668-4CC1-9558-FDB7FC57EF37}"/>
  </w:font>
  <w:font w:name="仿宋_GB2312">
    <w:panose1 w:val="02010609030101010101"/>
    <w:charset w:val="86"/>
    <w:family w:val="modern"/>
    <w:pitch w:val="default"/>
    <w:sig w:usb0="00000001" w:usb1="080E0000" w:usb2="00000000" w:usb3="00000000" w:csb0="00040000" w:csb1="00000000"/>
    <w:embedRegular r:id="rId2" w:fontKey="{BEFF7578-C929-4CFE-96ED-EE73BB9B855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91045B"/>
    <w:rsid w:val="164976AB"/>
    <w:rsid w:val="17C4789D"/>
    <w:rsid w:val="198D5A61"/>
    <w:rsid w:val="19DD0836"/>
    <w:rsid w:val="1A9A2283"/>
    <w:rsid w:val="1B8847D2"/>
    <w:rsid w:val="1C30585F"/>
    <w:rsid w:val="22C03EC5"/>
    <w:rsid w:val="23A56F64"/>
    <w:rsid w:val="258C59A3"/>
    <w:rsid w:val="298F1443"/>
    <w:rsid w:val="2B4E2738"/>
    <w:rsid w:val="2FEE51E1"/>
    <w:rsid w:val="313F480D"/>
    <w:rsid w:val="42254279"/>
    <w:rsid w:val="440B1FC8"/>
    <w:rsid w:val="45044742"/>
    <w:rsid w:val="480F57AF"/>
    <w:rsid w:val="4DD27A24"/>
    <w:rsid w:val="56F76347"/>
    <w:rsid w:val="5FE315A4"/>
    <w:rsid w:val="626A76D8"/>
    <w:rsid w:val="68867B1F"/>
    <w:rsid w:val="6BCB7ABB"/>
    <w:rsid w:val="6F2442E1"/>
    <w:rsid w:val="74203A36"/>
    <w:rsid w:val="75B4272A"/>
    <w:rsid w:val="76063B3E"/>
    <w:rsid w:val="77BF424C"/>
    <w:rsid w:val="7C6F58B5"/>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1</TotalTime>
  <ScaleCrop>false</ScaleCrop>
  <LinksUpToDate>false</LinksUpToDate>
  <CharactersWithSpaces>1351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南国人力集团</cp:lastModifiedBy>
  <cp:lastPrinted>2022-07-28T06:32:00Z</cp:lastPrinted>
  <dcterms:modified xsi:type="dcterms:W3CDTF">2022-11-01T08:52:20Z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05A733541D7D42A5A03CF42248D5846F</vt:lpwstr>
  </property>
</Properties>
</file>