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kern w:val="0"/>
          <w:sz w:val="24"/>
          <w:szCs w:val="24"/>
          <w:shd w:val="clear" w:fill="FEFEFE"/>
          <w:lang w:val="en-US" w:eastAsia="zh-CN" w:bidi="ar"/>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rPr>
      </w:pPr>
      <w:r>
        <w:rPr>
          <w:rStyle w:val="5"/>
          <w:rFonts w:hint="eastAsia" w:ascii="宋体" w:hAnsi="宋体" w:eastAsia="宋体" w:cs="宋体"/>
          <w:i w:val="0"/>
          <w:caps w:val="0"/>
          <w:color w:val="000000"/>
          <w:spacing w:val="0"/>
          <w:sz w:val="24"/>
          <w:szCs w:val="24"/>
          <w:shd w:val="clear" w:fill="FCFCFC"/>
          <w:lang w:val="en-US" w:eastAsia="zh-CN"/>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1.哲学类：哲学，逻辑学，宗教学，伦理学，马克思主义哲学，中国哲学，外国哲学，美学，科学技术哲学，科学技术史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艺术管理，设计艺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工业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14.电商物流类：电子商务，电子商务及法律，商务信息学，物流，物流管理，物流工程，采购（供应）管理，国际物流，现代物流管理，物流信息，物流信息管理，电子商务物流，物流工程与管理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人文医学，卫生管理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19.农业经济管理类：农林经济管理，农村区域发展，林业经济管理，农业（推广）硕士（经济管理、农业管理、农村发展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农村发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监察法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27.公安学类：公安技术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31.科学教育类：科学与技术教育，科学教育，学科教学（化学），学科教学（地理），学科教学（物理），学科教学（生物），课程与教学论（小学教学），小学教育（科学方向）</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32.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37.天文学类：天文学，天体物理，天体测量与天体力学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38.地质学类：地质学，地球化学，矿物学、岩石学、矿床学，古生物学及地层学，构造地质学，第四纪地质学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40.地球物理学类：地球物理学，地球与空间科学，空间科学与技术，固体地球物理学，空间物理学，信息技术与地球物理，应用地球物理，空间信息与数字技术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41.大气科学类：大气科学，应用气象学，气象学，大气物理学与大气环境，大气科学技术，大气探测技术，应用气象技术，防雷技术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42.海洋科学类：海洋科学，海洋技术，海洋资源与环境，海洋管理，军事海洋学，海洋生物资源与环境，物理海洋学，海洋化学，海洋生物学，海洋地质，海岸带综合管理，海洋物理（学）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43.心理学类：心理学，应用心理学（含临床心理学方向、犯罪心理学、社会心理学、心理咨询等），基础心理学，发展与教育心理学，人格心理学，认知神经科学，临床心理学，应用心理硕士，心理健康教育，心理健康教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44.系统科学类：系统理论，系统科学与工程，系统分析与集成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45.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矿业工程（硕士），地质工程领域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纳米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47.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测控技术与仪器，工业工程，飞行器动力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48.仪器仪表类：测控技术与仪器，电子信息技术及仪器，精密仪器及机械，测试计量技术及仪器，仪器科学与技术，工程硕士（仪器仪表工程），电子测量技术与仪器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51.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52.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53.计算机科学与技术类：计算机硬件技术类，计算机软件技术类，计算机网络技术类，计算机信息管理类，计算机多媒体技术类，计算机专门应用类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54.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55.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56.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物联网工程，视觉传达（艺术）设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58.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检测技术与自动化装置，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59.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highlight w:val="none"/>
          <w:shd w:val="clear" w:fill="FCFCFC"/>
        </w:rPr>
      </w:pPr>
      <w:bookmarkStart w:id="0" w:name="_GoBack"/>
      <w:r>
        <w:rPr>
          <w:rFonts w:hint="eastAsia" w:ascii="宋体" w:hAnsi="宋体" w:eastAsia="宋体" w:cs="宋体"/>
          <w:i w:val="0"/>
          <w:caps w:val="0"/>
          <w:color w:val="000000"/>
          <w:spacing w:val="0"/>
          <w:sz w:val="24"/>
          <w:szCs w:val="24"/>
          <w:highlight w:val="none"/>
          <w:shd w:val="clear" w:fill="FCFCFC"/>
          <w:lang w:val="en-US" w:eastAsia="zh-CN"/>
        </w:rPr>
        <w:t>60.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highlight w:val="none"/>
          <w:shd w:val="clear" w:fill="FCFCFC"/>
          <w:lang w:val="en-US" w:eastAsia="zh-CN"/>
        </w:rPr>
        <w:t>61.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w:t>
      </w:r>
      <w:bookmarkEnd w:id="0"/>
      <w:r>
        <w:rPr>
          <w:rFonts w:hint="eastAsia" w:ascii="宋体" w:hAnsi="宋体" w:eastAsia="宋体" w:cs="宋体"/>
          <w:i w:val="0"/>
          <w:caps w:val="0"/>
          <w:color w:val="000000"/>
          <w:spacing w:val="0"/>
          <w:sz w:val="24"/>
          <w:szCs w:val="24"/>
          <w:shd w:val="clear" w:fill="FCFCFC"/>
          <w:lang w:val="en-US" w:eastAsia="zh-CN"/>
        </w:rPr>
        <w:t>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62.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地质工程领域工程，遥感与地理信息系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63.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64.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65.化工与制药类：化学工程与工艺，制药工程，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66.交通运输类：交通运输综合管理类，交通运输装备类，公路运输类，铁道运输类，城市轨道运输类，水上运输类，民航运输类，港口运输类，管道运输类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67.交通运输综合管理类：交通运输，交通工程，物流工程，交通信息工程及控制，交通运输规划与管理，交通设备与控制工程，救助与打捞工程，交通运输工程，物流工程与管理，供应链管理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68.交通运输装备类：交通设备信息工程，交通建设与装备，载运工具运用工程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69.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70.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71.城市轨道运输类：道路与铁道工程，城市轨道交通车辆，城市轨道交通控制，城市轨道交通工程技术，城市轨道交通运营管理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72.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73.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行器动力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74.港口运输类：港口业务管理，港口物流设备与自动控制，集装箱运输管理，港口工程技术，报关与国际货运，港口与航运管理，港口机械应用技术，港口物流管理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75.管道运输类：管道工程技术，管道工程施工，管道运输管理，油气储运工程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76.海洋工程类：船舶与海洋工程，船舶与海洋结构物设计制造，轮机工程，运载工具运用工程，水声工程，海洋工程与技术，海洋资源开发技术，船舶电子电气工程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77.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79.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80.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83.工程力学类：理论与应用力学，工程力学，工程结构分析，一般力学与力学基础，固体力学，流体力学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84.生物工程类：生物工程，生物制药，生物医学工程，生物系统工程，生物技术及应用，生物实验技术，生物化工工艺，微生物技术及应用，病原生物学生物工程，微生物学与生化药学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85.农业工程类：农业硕士，农业工程，农业机械化及其自动化，农业电气化（与自动化），农业建筑环境与能源工程，农业水利工程，农业机械化工程，农业水土工程，农业生物环境与能源工程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86.林业工程类：森林工程，木材科学与工程，林产化工，木材科学与技术，林产化学加工，林产化学加工工程，林产科学与化学工程，家具设计与工程，林产化工技术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87.光学工程类：光学工程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88.核科学与技术类：核能科学与工程，核燃料循环与材料，核技术及应用，辐射防护及环境保护，核科学与技术，核工程与核技术，辐射防护与核安全，工程物理，核化工与核燃料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89.基础医学类：基础医学，人体解剖与组织胚胎学，免疫学，病原生物学，病理生理学，航空、航天和航海医学，运动人体科学，医学实验学，分子生物医学，病理学与病理生理学，转化医学，再生医学，人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90.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人文医学，营养与食品卫生学，卫生管理学，卫生检验学，卫生事业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91.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92.医学技术类：医学检验技术，医学影像技术，医学实验技术，眼视光学（四年制），口腔医学技术，卫生检验与检疫（技术），医学技术，康复治疗学，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93.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94.法医学类：法医学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95.护理学类：护理学，助产，护理，社区护理，中西医结合护理学，护理硕士，助产学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96.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97.中药学类：中药（学），藏药学，中药资源与开发，蒙药学，中草药栽培与鉴定，生药学，中药制药，维药学（药剂方向），中药鉴定与质量检测技术，现代中药技术，中药学硕士</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98.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可再生资源，植物育种与种质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99.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可再生资源，城市林业，林产化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100.动物生产类：动物科学，蚕学，蜂学，草业科学，畜牧，动物科学与技术，饲料与动物营养，特种动物养殖，蚕桑技术，实验动物养殖，动物遗传育种与繁殖，动物营养与饲料科学，特种经济动物饲养，农业（推广）硕士专业（养殖、草业方向），可再生资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101.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102.水产类：水产养殖学，海洋渔业科学与技术，水族科学与技术，捕捞学，渔业资源，水产养殖，水产养殖技术，水生动植物保护，海洋捕捞技术，渔业综合技术，城市渔业，淡水渔业，农业（推广）硕士（渔业方向），水产</w:t>
      </w:r>
    </w:p>
    <w:p>
      <w:pPr>
        <w:pStyle w:val="2"/>
        <w:keepNext w:val="0"/>
        <w:keepLines w:val="0"/>
        <w:widowControl/>
        <w:suppressLineNumbers w:val="0"/>
        <w:shd w:val="clear" w:fill="FCFCFC"/>
        <w:spacing w:line="23" w:lineRule="atLeast"/>
        <w:ind w:left="0" w:firstLine="0"/>
        <w:jc w:val="center"/>
        <w:rPr>
          <w:rStyle w:val="5"/>
          <w:rFonts w:hint="eastAsia" w:ascii="宋体" w:hAnsi="宋体" w:eastAsia="宋体" w:cs="宋体"/>
          <w:i w:val="0"/>
          <w:caps w:val="0"/>
          <w:color w:val="000000"/>
          <w:spacing w:val="0"/>
          <w:sz w:val="24"/>
          <w:szCs w:val="24"/>
          <w:shd w:val="clear" w:fill="FCFCFC"/>
          <w:lang w:val="en-US" w:eastAsia="zh-CN"/>
        </w:rPr>
      </w:pPr>
      <w:r>
        <w:rPr>
          <w:rStyle w:val="5"/>
          <w:rFonts w:hint="eastAsia" w:ascii="宋体" w:hAnsi="宋体" w:eastAsia="宋体" w:cs="宋体"/>
          <w:i w:val="0"/>
          <w:caps w:val="0"/>
          <w:color w:val="000000"/>
          <w:spacing w:val="0"/>
          <w:sz w:val="24"/>
          <w:szCs w:val="24"/>
          <w:shd w:val="clear" w:fill="FCFCFC"/>
          <w:lang w:val="en-US" w:eastAsia="zh-CN"/>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103.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104.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光电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105.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106.军事控制测试类：火力指挥与控制工程，测控工程，无人机运用工程，探测工程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107.军事经济管理类：军队财务管理，装备经济管理，军队审计，军队采办，军事组织编制学，军队管理学，部队政治工作，部队财务会计，部队后勤管理，军队政治工作学，军事后勤学，后方专业勤务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108.兵种指挥类：炮兵指挥，防空兵指挥，装甲兵指挥，工程兵指挥，防化兵指挥，联合战役学，军种战役学，合同战术学，兵种战术学，武警指挥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109.航空航天指挥类：航空飞行与指挥，地面领航与航空管制，航天指挥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110.信息作战指挥类：侦察与特种兵指挥，通信指挥，电子对抗指挥与工程，军事情报，作战信息管理，预警探测指挥，作战指挥学，军事运筹学，军事通信学，军事情报学，密码学，军事教育训练学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i w:val="0"/>
          <w:caps w:val="0"/>
          <w:color w:val="000000"/>
          <w:spacing w:val="0"/>
          <w:sz w:val="24"/>
          <w:szCs w:val="24"/>
          <w:shd w:val="clear" w:fill="FCFCFC"/>
        </w:rPr>
      </w:pPr>
      <w:r>
        <w:rPr>
          <w:rFonts w:hint="eastAsia" w:ascii="宋体" w:hAnsi="宋体" w:eastAsia="宋体" w:cs="宋体"/>
          <w:i w:val="0"/>
          <w:caps w:val="0"/>
          <w:color w:val="000000"/>
          <w:spacing w:val="0"/>
          <w:sz w:val="24"/>
          <w:szCs w:val="24"/>
          <w:shd w:val="clear" w:fill="FCFCFC"/>
          <w:lang w:val="en-US" w:eastAsia="zh-CN"/>
        </w:rPr>
        <w:t>111.保障指挥类：军事交通指挥与工程，汽车指挥，船艇指挥，航空兵场站指挥，国防工程指挥，装备保障指挥，军需勤务指挥，军事装备学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YzMzMGJkZWZmMDQ5NTdjN2ZiOTFjYzBlNzQyNzcifQ=="/>
  </w:docVars>
  <w:rsids>
    <w:rsidRoot w:val="00000000"/>
    <w:rsid w:val="02137667"/>
    <w:rsid w:val="0469566F"/>
    <w:rsid w:val="1BB24E4C"/>
    <w:rsid w:val="29CB643C"/>
    <w:rsid w:val="2BC25D71"/>
    <w:rsid w:val="44AB04D0"/>
    <w:rsid w:val="4A7B1A4E"/>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21941</Words>
  <Characters>22190</Characters>
  <Lines>0</Lines>
  <Paragraphs>0</Paragraphs>
  <TotalTime>4390</TotalTime>
  <ScaleCrop>false</ScaleCrop>
  <LinksUpToDate>false</LinksUpToDate>
  <CharactersWithSpaces>22190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Administrator</cp:lastModifiedBy>
  <cp:lastPrinted>2021-01-04T07:20:00Z</cp:lastPrinted>
  <dcterms:modified xsi:type="dcterms:W3CDTF">2022-11-01T08:03:12Z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6BA0B8FAB36E4D099FAC92AECD21AD99</vt:lpwstr>
  </property>
</Properties>
</file>