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28"/>
          <w:szCs w:val="28"/>
        </w:rPr>
      </w:pPr>
      <w:r>
        <w:rPr>
          <w:rFonts w:hint="eastAsia" w:ascii="黑体" w:hAnsi="黑体" w:eastAsia="黑体" w:cs="黑体"/>
          <w:sz w:val="28"/>
          <w:szCs w:val="28"/>
        </w:rPr>
        <w:t>附件</w:t>
      </w:r>
      <w:r>
        <w:rPr>
          <w:rFonts w:hint="eastAsia" w:ascii="黑体" w:hAnsi="黑体" w:eastAsia="黑体" w:cs="黑体"/>
          <w:sz w:val="28"/>
          <w:szCs w:val="28"/>
          <w:lang w:val="en-US" w:eastAsia="zh-CN"/>
        </w:rPr>
        <w:t>1</w:t>
      </w:r>
      <w:r>
        <w:rPr>
          <w:rFonts w:hint="eastAsia" w:ascii="黑体" w:hAnsi="黑体" w:eastAsia="黑体" w:cs="黑体"/>
          <w:sz w:val="28"/>
          <w:szCs w:val="28"/>
        </w:rPr>
        <w:t>：</w:t>
      </w:r>
    </w:p>
    <w:p>
      <w:pPr>
        <w:pStyle w:val="13"/>
        <w:jc w:val="center"/>
        <w:rPr>
          <w:rFonts w:hint="eastAsia" w:ascii="黑体" w:hAnsi="黑体" w:eastAsia="黑体" w:cs="黑体"/>
          <w:sz w:val="36"/>
          <w:szCs w:val="36"/>
          <w:lang w:eastAsia="zh-CN"/>
        </w:rPr>
      </w:pPr>
      <w:r>
        <w:rPr>
          <w:rFonts w:hint="eastAsia" w:ascii="黑体" w:hAnsi="黑体" w:eastAsia="黑体" w:cs="黑体"/>
          <w:sz w:val="36"/>
          <w:szCs w:val="36"/>
        </w:rPr>
        <w:t>贵州达康医疗设备管理服务有限公司面向社会公开招聘高级管理人员需求</w:t>
      </w:r>
      <w:r>
        <w:rPr>
          <w:rFonts w:hint="eastAsia" w:ascii="黑体" w:hAnsi="黑体" w:eastAsia="黑体" w:cs="黑体"/>
          <w:sz w:val="36"/>
          <w:szCs w:val="36"/>
          <w:lang w:eastAsia="zh-CN"/>
        </w:rPr>
        <w:t>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963"/>
        <w:gridCol w:w="897"/>
        <w:gridCol w:w="6701"/>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94" w:type="dxa"/>
          </w:tcPr>
          <w:p>
            <w:pPr>
              <w:spacing w:before="100" w:after="100"/>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公司</w:t>
            </w:r>
          </w:p>
        </w:tc>
        <w:tc>
          <w:tcPr>
            <w:tcW w:w="963" w:type="dxa"/>
          </w:tcPr>
          <w:p>
            <w:pPr>
              <w:spacing w:before="100" w:after="10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岗位</w:t>
            </w:r>
          </w:p>
        </w:tc>
        <w:tc>
          <w:tcPr>
            <w:tcW w:w="897" w:type="dxa"/>
          </w:tcPr>
          <w:p>
            <w:pPr>
              <w:spacing w:before="100" w:after="10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人数</w:t>
            </w:r>
          </w:p>
        </w:tc>
        <w:tc>
          <w:tcPr>
            <w:tcW w:w="6701" w:type="dxa"/>
          </w:tcPr>
          <w:p>
            <w:pPr>
              <w:spacing w:before="100" w:after="100"/>
              <w:jc w:val="center"/>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职位描述</w:t>
            </w:r>
          </w:p>
        </w:tc>
        <w:tc>
          <w:tcPr>
            <w:tcW w:w="3183" w:type="dxa"/>
          </w:tcPr>
          <w:p>
            <w:pPr>
              <w:spacing w:before="100" w:after="100"/>
              <w:jc w:val="center"/>
              <w:rPr>
                <w:rFonts w:ascii="宋体" w:hAnsi="宋体" w:eastAsia="宋体" w:cs="宋体"/>
                <w:b/>
                <w:bCs/>
                <w:sz w:val="28"/>
                <w:szCs w:val="28"/>
              </w:rPr>
            </w:pPr>
            <w:r>
              <w:rPr>
                <w:rFonts w:hint="eastAsia" w:ascii="宋体" w:hAnsi="宋体" w:eastAsia="宋体" w:cs="宋体"/>
                <w:b/>
                <w:bCs/>
                <w:sz w:val="28"/>
                <w:szCs w:val="28"/>
              </w:rPr>
              <w:t>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9" w:hRule="atLeast"/>
          <w:jc w:val="center"/>
        </w:trPr>
        <w:tc>
          <w:tcPr>
            <w:tcW w:w="894" w:type="dxa"/>
            <w:vAlign w:val="center"/>
          </w:tcPr>
          <w:p>
            <w:pPr>
              <w:keepNext w:val="0"/>
              <w:keepLines w:val="0"/>
              <w:pageBreakBefore w:val="0"/>
              <w:widowControl w:val="0"/>
              <w:kinsoku/>
              <w:wordWrap/>
              <w:overflowPunct/>
              <w:topLinePunct w:val="0"/>
              <w:autoSpaceDE/>
              <w:autoSpaceDN/>
              <w:bidi w:val="0"/>
              <w:adjustRightInd/>
              <w:snapToGrid/>
              <w:spacing w:before="100" w:after="100" w:line="4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贵州达康医疗设备管理服务有限公司</w:t>
            </w:r>
          </w:p>
        </w:tc>
        <w:tc>
          <w:tcPr>
            <w:tcW w:w="963" w:type="dxa"/>
            <w:vAlign w:val="center"/>
          </w:tcPr>
          <w:p>
            <w:pPr>
              <w:pStyle w:val="22"/>
              <w:keepNext w:val="0"/>
              <w:keepLines w:val="0"/>
              <w:pageBreakBefore w:val="0"/>
              <w:widowControl w:val="0"/>
              <w:kinsoku/>
              <w:wordWrap/>
              <w:overflowPunct/>
              <w:topLinePunct w:val="0"/>
              <w:autoSpaceDE/>
              <w:autoSpaceDN/>
              <w:bidi w:val="0"/>
              <w:adjustRightInd/>
              <w:snapToGrid/>
              <w:spacing w:before="100" w:after="100" w:line="400" w:lineRule="exact"/>
              <w:ind w:firstLine="0" w:firstLineChars="0"/>
              <w:textAlignment w:val="auto"/>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eastAsia="zh-CN" w:bidi="ar"/>
              </w:rPr>
              <w:t>总经理</w:t>
            </w:r>
          </w:p>
        </w:tc>
        <w:tc>
          <w:tcPr>
            <w:tcW w:w="897" w:type="dxa"/>
            <w:vAlign w:val="center"/>
          </w:tcPr>
          <w:p>
            <w:pPr>
              <w:pStyle w:val="22"/>
              <w:keepNext w:val="0"/>
              <w:keepLines w:val="0"/>
              <w:pageBreakBefore w:val="0"/>
              <w:widowControl w:val="0"/>
              <w:kinsoku/>
              <w:wordWrap/>
              <w:overflowPunct/>
              <w:topLinePunct w:val="0"/>
              <w:autoSpaceDE/>
              <w:autoSpaceDN/>
              <w:bidi w:val="0"/>
              <w:adjustRightInd/>
              <w:snapToGrid/>
              <w:spacing w:before="100" w:after="100" w:line="400" w:lineRule="exact"/>
              <w:ind w:firstLine="0" w:firstLineChars="0"/>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w:t>
            </w:r>
          </w:p>
        </w:tc>
        <w:tc>
          <w:tcPr>
            <w:tcW w:w="6701" w:type="dxa"/>
            <w:vAlign w:val="center"/>
          </w:tcPr>
          <w:p>
            <w:pPr>
              <w:keepNext w:val="0"/>
              <w:keepLines w:val="0"/>
              <w:pageBreakBefore w:val="0"/>
              <w:widowControl w:val="0"/>
              <w:kinsoku/>
              <w:wordWrap/>
              <w:overflowPunct/>
              <w:topLinePunct w:val="0"/>
              <w:autoSpaceDE/>
              <w:autoSpaceDN/>
              <w:bidi w:val="0"/>
              <w:adjustRightInd/>
              <w:snapToGrid/>
              <w:spacing w:before="100" w:after="100" w:line="320" w:lineRule="exact"/>
              <w:jc w:val="left"/>
              <w:textAlignment w:val="auto"/>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根据董事会提出的战略目标，组织制定公司中长期发展战略与经营方案，并推动实施</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val="0"/>
              <w:kinsoku/>
              <w:wordWrap/>
              <w:overflowPunct/>
              <w:topLinePunct w:val="0"/>
              <w:autoSpaceDE/>
              <w:autoSpaceDN/>
              <w:bidi w:val="0"/>
              <w:adjustRightInd/>
              <w:snapToGrid/>
              <w:spacing w:before="100" w:after="100" w:line="320" w:lineRule="exact"/>
              <w:jc w:val="left"/>
              <w:textAlignment w:val="auto"/>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bidi="ar"/>
              </w:rPr>
              <w:t>编制公司的年度生产经营计划、财务预算和投资方案，组织实施董事会授权或批准的年度生产经营计划、财务预算和投资方案，保证经营目标和安全生产目标的实现</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val="0"/>
              <w:kinsoku/>
              <w:wordWrap/>
              <w:overflowPunct/>
              <w:topLinePunct w:val="0"/>
              <w:autoSpaceDE/>
              <w:autoSpaceDN/>
              <w:bidi w:val="0"/>
              <w:adjustRightInd/>
              <w:snapToGrid/>
              <w:spacing w:before="100" w:after="100" w:line="320" w:lineRule="exact"/>
              <w:jc w:val="left"/>
              <w:textAlignment w:val="auto"/>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3.</w:t>
            </w:r>
            <w:r>
              <w:rPr>
                <w:rFonts w:hint="eastAsia" w:ascii="仿宋_GB2312" w:hAnsi="仿宋_GB2312" w:eastAsia="仿宋_GB2312" w:cs="仿宋_GB2312"/>
                <w:color w:val="auto"/>
                <w:kern w:val="0"/>
                <w:sz w:val="24"/>
                <w:szCs w:val="24"/>
                <w:lang w:bidi="ar"/>
              </w:rPr>
              <w:t>全面主持公司日常生产经营和管理活动，在董事会授权范围内，代表公司签署对外合同、合约，审批、处理公司各项事务</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val="0"/>
              <w:kinsoku/>
              <w:wordWrap/>
              <w:overflowPunct/>
              <w:topLinePunct w:val="0"/>
              <w:autoSpaceDE/>
              <w:autoSpaceDN/>
              <w:bidi w:val="0"/>
              <w:adjustRightInd/>
              <w:snapToGrid/>
              <w:spacing w:before="100" w:after="100" w:line="320" w:lineRule="exact"/>
              <w:jc w:val="left"/>
              <w:textAlignment w:val="auto"/>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4.</w:t>
            </w:r>
            <w:r>
              <w:rPr>
                <w:rFonts w:hint="eastAsia" w:ascii="仿宋_GB2312" w:hAnsi="仿宋_GB2312" w:eastAsia="仿宋_GB2312" w:cs="仿宋_GB2312"/>
                <w:color w:val="auto"/>
                <w:kern w:val="0"/>
                <w:sz w:val="24"/>
                <w:szCs w:val="24"/>
                <w:lang w:bidi="ar"/>
              </w:rPr>
              <w:t>提请董事会聘任或者解聘公司副总经理等高级管理人员；聘任或解聘除应当由董事会聘任或解聘以外的管理人员</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val="0"/>
              <w:kinsoku/>
              <w:wordWrap/>
              <w:overflowPunct/>
              <w:topLinePunct w:val="0"/>
              <w:autoSpaceDE/>
              <w:autoSpaceDN/>
              <w:bidi w:val="0"/>
              <w:adjustRightInd/>
              <w:snapToGrid/>
              <w:spacing w:before="100" w:after="100" w:line="320" w:lineRule="exact"/>
              <w:jc w:val="left"/>
              <w:textAlignment w:val="auto"/>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5.</w:t>
            </w:r>
            <w:r>
              <w:rPr>
                <w:rFonts w:hint="eastAsia" w:ascii="仿宋_GB2312" w:hAnsi="仿宋_GB2312" w:eastAsia="仿宋_GB2312" w:cs="仿宋_GB2312"/>
                <w:color w:val="auto"/>
                <w:kern w:val="0"/>
                <w:sz w:val="24"/>
                <w:szCs w:val="24"/>
                <w:lang w:bidi="ar"/>
              </w:rPr>
              <w:t>实施公司的总体战略。组织实施公司的发展战略，发掘市场机会，领导创新与变革</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val="0"/>
              <w:kinsoku/>
              <w:wordWrap/>
              <w:overflowPunct/>
              <w:topLinePunct w:val="0"/>
              <w:autoSpaceDE/>
              <w:autoSpaceDN/>
              <w:bidi w:val="0"/>
              <w:adjustRightInd/>
              <w:snapToGrid/>
              <w:spacing w:before="100" w:after="100" w:line="320" w:lineRule="exact"/>
              <w:jc w:val="left"/>
              <w:textAlignment w:val="auto"/>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6.</w:t>
            </w:r>
            <w:r>
              <w:rPr>
                <w:rFonts w:hint="eastAsia" w:ascii="仿宋_GB2312" w:hAnsi="仿宋_GB2312" w:eastAsia="仿宋_GB2312" w:cs="仿宋_GB2312"/>
                <w:color w:val="auto"/>
                <w:kern w:val="0"/>
                <w:sz w:val="24"/>
                <w:szCs w:val="24"/>
                <w:lang w:bidi="ar"/>
              </w:rPr>
              <w:t>建立良好的沟通渠道。负责与董事长保持良好沟通，定期向董事长汇报经营战略和计划执行情况、资金运用情况和盈亏情况、机构和人员调配情况及其他重大事宜；领导建立公司与客户、供应商、合作伙伴、上级主管部门、政府机构、金融机构、媒体等部门间顺畅的沟通渠道</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val="0"/>
              <w:kinsoku/>
              <w:wordWrap/>
              <w:overflowPunct/>
              <w:topLinePunct w:val="0"/>
              <w:autoSpaceDE/>
              <w:autoSpaceDN/>
              <w:bidi w:val="0"/>
              <w:adjustRightInd/>
              <w:snapToGrid/>
              <w:spacing w:before="100" w:after="100" w:line="320" w:lineRule="exact"/>
              <w:jc w:val="left"/>
              <w:textAlignment w:val="auto"/>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7.董事会交办的其他事项</w:t>
            </w:r>
            <w:r>
              <w:rPr>
                <w:rFonts w:hint="eastAsia" w:ascii="仿宋_GB2312" w:hAnsi="仿宋_GB2312" w:eastAsia="仿宋_GB2312" w:cs="仿宋_GB2312"/>
                <w:color w:val="auto"/>
                <w:kern w:val="0"/>
                <w:sz w:val="24"/>
                <w:szCs w:val="24"/>
                <w:lang w:bidi="ar"/>
              </w:rPr>
              <w:t>。</w:t>
            </w:r>
          </w:p>
        </w:tc>
        <w:tc>
          <w:tcPr>
            <w:tcW w:w="3183" w:type="dxa"/>
            <w:vAlign w:val="center"/>
          </w:tcPr>
          <w:p>
            <w:pPr>
              <w:keepNext w:val="0"/>
              <w:keepLines w:val="0"/>
              <w:pageBreakBefore w:val="0"/>
              <w:widowControl w:val="0"/>
              <w:kinsoku/>
              <w:wordWrap/>
              <w:overflowPunct/>
              <w:topLinePunct w:val="0"/>
              <w:autoSpaceDE/>
              <w:autoSpaceDN/>
              <w:bidi w:val="0"/>
              <w:adjustRightInd/>
              <w:snapToGrid/>
              <w:spacing w:before="100" w:after="100" w:line="320" w:lineRule="exact"/>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1.年龄在50周岁以下。</w:t>
            </w:r>
          </w:p>
          <w:p>
            <w:pPr>
              <w:keepNext w:val="0"/>
              <w:keepLines w:val="0"/>
              <w:pageBreakBefore w:val="0"/>
              <w:widowControl w:val="0"/>
              <w:kinsoku/>
              <w:wordWrap/>
              <w:overflowPunct/>
              <w:topLinePunct w:val="0"/>
              <w:autoSpaceDE/>
              <w:autoSpaceDN/>
              <w:bidi w:val="0"/>
              <w:adjustRightInd/>
              <w:snapToGrid/>
              <w:spacing w:before="100" w:after="100" w:line="320" w:lineRule="exact"/>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2.具有大学本</w:t>
            </w:r>
            <w:bookmarkStart w:id="0" w:name="_GoBack"/>
            <w:bookmarkEnd w:id="0"/>
            <w:r>
              <w:rPr>
                <w:rFonts w:hint="eastAsia" w:ascii="仿宋_GB2312" w:hAnsi="仿宋_GB2312" w:eastAsia="仿宋_GB2312" w:cs="仿宋_GB2312"/>
                <w:color w:val="auto"/>
                <w:sz w:val="24"/>
                <w:szCs w:val="24"/>
                <w:lang w:val="en-US" w:eastAsia="zh-CN"/>
              </w:rPr>
              <w:t>科以上学历。</w:t>
            </w:r>
          </w:p>
          <w:p>
            <w:pPr>
              <w:keepNext w:val="0"/>
              <w:keepLines w:val="0"/>
              <w:pageBreakBefore w:val="0"/>
              <w:widowControl w:val="0"/>
              <w:kinsoku/>
              <w:wordWrap/>
              <w:overflowPunct/>
              <w:topLinePunct w:val="0"/>
              <w:autoSpaceDE/>
              <w:autoSpaceDN/>
              <w:bidi w:val="0"/>
              <w:adjustRightInd/>
              <w:snapToGrid/>
              <w:spacing w:before="100" w:after="100" w:line="320" w:lineRule="exact"/>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3.10年以上医药行业及管理相关工作经验，在医院药品、耗材、设备等领域具有丰富的实操经验；具备良好市场人脉资源，有较强的业务开拓能力，以往业绩突出，在行业产业上下游认可度较高，团队意识和管理能力强。</w:t>
            </w:r>
          </w:p>
          <w:p>
            <w:pPr>
              <w:keepNext w:val="0"/>
              <w:keepLines w:val="0"/>
              <w:pageBreakBefore w:val="0"/>
              <w:widowControl w:val="0"/>
              <w:kinsoku/>
              <w:wordWrap/>
              <w:overflowPunct/>
              <w:topLinePunct w:val="0"/>
              <w:autoSpaceDE/>
              <w:autoSpaceDN/>
              <w:bidi w:val="0"/>
              <w:adjustRightInd/>
              <w:snapToGrid/>
              <w:spacing w:before="100" w:after="100" w:line="320" w:lineRule="exact"/>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4.事业心责任感强，有良好的职业道德、严谨的工作作风和团队工作意识，沟通协调能力强。</w:t>
            </w:r>
          </w:p>
          <w:p>
            <w:pPr>
              <w:keepNext w:val="0"/>
              <w:keepLines w:val="0"/>
              <w:pageBreakBefore w:val="0"/>
              <w:widowControl w:val="0"/>
              <w:kinsoku/>
              <w:wordWrap/>
              <w:overflowPunct/>
              <w:topLinePunct w:val="0"/>
              <w:autoSpaceDE/>
              <w:autoSpaceDN/>
              <w:bidi w:val="0"/>
              <w:adjustRightInd/>
              <w:snapToGrid/>
              <w:spacing w:before="100" w:after="100" w:line="32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5.有市级及以上国有企业高级管理人员岗位任职经历者优先；</w:t>
            </w:r>
          </w:p>
          <w:p>
            <w:pPr>
              <w:keepNext w:val="0"/>
              <w:keepLines w:val="0"/>
              <w:pageBreakBefore w:val="0"/>
              <w:widowControl w:val="0"/>
              <w:kinsoku/>
              <w:wordWrap/>
              <w:overflowPunct/>
              <w:topLinePunct w:val="0"/>
              <w:autoSpaceDE/>
              <w:autoSpaceDN/>
              <w:bidi w:val="0"/>
              <w:adjustRightInd/>
              <w:snapToGrid/>
              <w:spacing w:before="100" w:after="100" w:line="32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6.中共党员优先。</w:t>
            </w:r>
          </w:p>
        </w:tc>
      </w:tr>
    </w:tbl>
    <w:p/>
    <w:sectPr>
      <w:pgSz w:w="16838" w:h="11906" w:orient="landscape"/>
      <w:pgMar w:top="1587" w:right="2098" w:bottom="1474" w:left="1984"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B4CD"/>
    <w:multiLevelType w:val="multilevel"/>
    <w:tmpl w:val="FFFFB4CD"/>
    <w:lvl w:ilvl="0" w:tentative="0">
      <w:start w:val="1"/>
      <w:numFmt w:val="decimal"/>
      <w:pStyle w:val="2"/>
      <w:lvlText w:val="%1"/>
      <w:lvlJc w:val="left"/>
      <w:pPr>
        <w:tabs>
          <w:tab w:val="left" w:pos="425"/>
        </w:tabs>
        <w:ind w:left="425" w:hanging="425"/>
      </w:pPr>
      <w:rPr>
        <w:rFonts w:hint="eastAsia"/>
      </w:rPr>
    </w:lvl>
    <w:lvl w:ilvl="1" w:tentative="0">
      <w:start w:val="1"/>
      <w:numFmt w:val="decimal"/>
      <w:pStyle w:val="3"/>
      <w:lvlText w:val="%1.%2"/>
      <w:lvlJc w:val="left"/>
      <w:pPr>
        <w:tabs>
          <w:tab w:val="left" w:pos="567"/>
        </w:tabs>
        <w:ind w:left="567" w:hanging="567"/>
      </w:pPr>
      <w:rPr>
        <w:rFonts w:hint="eastAsia"/>
      </w:rPr>
    </w:lvl>
    <w:lvl w:ilvl="2" w:tentative="0">
      <w:start w:val="1"/>
      <w:numFmt w:val="decimal"/>
      <w:pStyle w:val="5"/>
      <w:lvlText w:val="%1.%2.%3"/>
      <w:lvlJc w:val="left"/>
      <w:pPr>
        <w:tabs>
          <w:tab w:val="left" w:pos="720"/>
        </w:tabs>
        <w:ind w:left="709" w:hanging="709"/>
      </w:pPr>
      <w:rPr>
        <w:rFonts w:hint="eastAsia"/>
      </w:rPr>
    </w:lvl>
    <w:lvl w:ilvl="3" w:tentative="0">
      <w:start w:val="1"/>
      <w:numFmt w:val="decimal"/>
      <w:pStyle w:val="6"/>
      <w:lvlText w:val="%1.%2.%3.%4"/>
      <w:lvlJc w:val="left"/>
      <w:pPr>
        <w:tabs>
          <w:tab w:val="left" w:pos="1080"/>
        </w:tabs>
        <w:ind w:left="851" w:hanging="851"/>
      </w:pPr>
      <w:rPr>
        <w:rFonts w:hint="eastAsia"/>
      </w:rPr>
    </w:lvl>
    <w:lvl w:ilvl="4" w:tentative="0">
      <w:start w:val="1"/>
      <w:numFmt w:val="decimal"/>
      <w:pStyle w:val="7"/>
      <w:lvlText w:val="%1.%2.%3.%4.%5"/>
      <w:lvlJc w:val="left"/>
      <w:pPr>
        <w:tabs>
          <w:tab w:val="left" w:pos="1440"/>
        </w:tabs>
        <w:ind w:left="992" w:hanging="992"/>
      </w:pPr>
      <w:rPr>
        <w:rFonts w:hint="eastAsia"/>
      </w:rPr>
    </w:lvl>
    <w:lvl w:ilvl="5" w:tentative="0">
      <w:start w:val="1"/>
      <w:numFmt w:val="decimal"/>
      <w:pStyle w:val="8"/>
      <w:lvlText w:val="%1.%2.%3.%4.%5.%6"/>
      <w:lvlJc w:val="left"/>
      <w:pPr>
        <w:tabs>
          <w:tab w:val="left" w:pos="1800"/>
        </w:tabs>
        <w:ind w:left="1134" w:hanging="1134"/>
      </w:pPr>
      <w:rPr>
        <w:rFonts w:hint="eastAsia"/>
      </w:rPr>
    </w:lvl>
    <w:lvl w:ilvl="6" w:tentative="0">
      <w:start w:val="1"/>
      <w:numFmt w:val="decimal"/>
      <w:pStyle w:val="9"/>
      <w:lvlText w:val="%1.%2.%3.%4.%5.%6.%7"/>
      <w:lvlJc w:val="left"/>
      <w:pPr>
        <w:tabs>
          <w:tab w:val="left" w:pos="1800"/>
        </w:tabs>
        <w:ind w:left="1276" w:hanging="1276"/>
      </w:pPr>
      <w:rPr>
        <w:rFonts w:hint="eastAsia"/>
      </w:rPr>
    </w:lvl>
    <w:lvl w:ilvl="7" w:tentative="0">
      <w:start w:val="1"/>
      <w:numFmt w:val="decimal"/>
      <w:pStyle w:val="10"/>
      <w:lvlText w:val="%1.%2.%3.%4.%5.%6.%7.%8"/>
      <w:lvlJc w:val="left"/>
      <w:pPr>
        <w:tabs>
          <w:tab w:val="left" w:pos="2160"/>
        </w:tabs>
        <w:ind w:left="1418" w:hanging="1418"/>
      </w:pPr>
      <w:rPr>
        <w:rFonts w:hint="eastAsia"/>
      </w:rPr>
    </w:lvl>
    <w:lvl w:ilvl="8" w:tentative="0">
      <w:start w:val="1"/>
      <w:numFmt w:val="decimal"/>
      <w:pStyle w:val="11"/>
      <w:lvlText w:val="%1.%2.%3.%4.%5.%6.%7.%8.%9"/>
      <w:lvlJc w:val="left"/>
      <w:pPr>
        <w:tabs>
          <w:tab w:val="left" w:pos="2520"/>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5ZGU1Y2JkMGYwNDlkMmUyZjMyZTkyMzBkNDA2MmQifQ=="/>
  </w:docVars>
  <w:rsids>
    <w:rsidRoot w:val="00000000"/>
    <w:rsid w:val="04B96C04"/>
    <w:rsid w:val="0AF611D0"/>
    <w:rsid w:val="0AFB0112"/>
    <w:rsid w:val="13B818DA"/>
    <w:rsid w:val="13F76DF0"/>
    <w:rsid w:val="15EC6FEB"/>
    <w:rsid w:val="1F49071C"/>
    <w:rsid w:val="1F873D86"/>
    <w:rsid w:val="1FA12306"/>
    <w:rsid w:val="1FCE1A11"/>
    <w:rsid w:val="274077C0"/>
    <w:rsid w:val="41FC376F"/>
    <w:rsid w:val="510A5E9E"/>
    <w:rsid w:val="575A37C1"/>
    <w:rsid w:val="581C5DB9"/>
    <w:rsid w:val="60352257"/>
    <w:rsid w:val="6A060680"/>
    <w:rsid w:val="6FE54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left="425" w:hanging="425"/>
      <w:outlineLvl w:val="0"/>
    </w:pPr>
    <w:rPr>
      <w:b/>
      <w:kern w:val="44"/>
      <w:sz w:val="44"/>
    </w:rPr>
  </w:style>
  <w:style w:type="paragraph" w:styleId="3">
    <w:name w:val="heading 2"/>
    <w:basedOn w:val="4"/>
    <w:next w:val="1"/>
    <w:semiHidden/>
    <w:unhideWhenUsed/>
    <w:qFormat/>
    <w:uiPriority w:val="0"/>
    <w:pPr>
      <w:keepNext/>
      <w:keepLines/>
      <w:numPr>
        <w:ilvl w:val="1"/>
        <w:numId w:val="1"/>
      </w:numPr>
      <w:spacing w:line="560" w:lineRule="exact"/>
      <w:ind w:left="0" w:leftChars="0" w:firstLine="0"/>
      <w:jc w:val="center"/>
      <w:outlineLvl w:val="1"/>
    </w:pPr>
    <w:rPr>
      <w:rFonts w:ascii="Times New Roman" w:hAnsi="Times New Roman" w:eastAsia="黑体"/>
      <w:bCs/>
      <w:smallCaps/>
      <w:sz w:val="32"/>
      <w:szCs w:val="32"/>
    </w:rPr>
  </w:style>
  <w:style w:type="paragraph" w:styleId="5">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51" w:hanging="851"/>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992" w:hanging="992"/>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34" w:hanging="1134"/>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76" w:hanging="1276"/>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18" w:hanging="1418"/>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59" w:hanging="1559"/>
      <w:outlineLvl w:val="8"/>
    </w:pPr>
    <w:rPr>
      <w:rFonts w:ascii="Arial" w:hAnsi="Arial" w:eastAsia="黑体"/>
      <w:sz w:val="21"/>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4">
    <w:name w:val="toc 2"/>
    <w:basedOn w:val="1"/>
    <w:next w:val="1"/>
    <w:qFormat/>
    <w:uiPriority w:val="0"/>
    <w:pPr>
      <w:ind w:left="420" w:leftChars="200"/>
    </w:pPr>
  </w:style>
  <w:style w:type="paragraph" w:styleId="12">
    <w:name w:val="Body Text Indent"/>
    <w:basedOn w:val="1"/>
    <w:qFormat/>
    <w:uiPriority w:val="0"/>
    <w:pPr>
      <w:spacing w:after="120"/>
      <w:ind w:left="420" w:leftChars="200"/>
    </w:pPr>
  </w:style>
  <w:style w:type="paragraph" w:styleId="1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2"/>
    <w:basedOn w:val="12"/>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第一条"/>
    <w:basedOn w:val="1"/>
    <w:link w:val="20"/>
    <w:qFormat/>
    <w:uiPriority w:val="0"/>
    <w:pPr>
      <w:spacing w:before="30" w:beforeLines="30" w:after="30" w:afterLines="30" w:line="560" w:lineRule="exact"/>
      <w:ind w:firstLine="880" w:firstLineChars="200"/>
    </w:pPr>
    <w:rPr>
      <w:rFonts w:hint="eastAsia" w:ascii="仿宋_GB2312" w:hAnsi="仿宋_GB2312" w:eastAsia="仿宋_GB2312" w:cs="仿宋"/>
      <w:b/>
      <w:sz w:val="32"/>
      <w:szCs w:val="32"/>
    </w:rPr>
  </w:style>
  <w:style w:type="character" w:customStyle="1" w:styleId="20">
    <w:name w:val="第一条 Char"/>
    <w:link w:val="19"/>
    <w:qFormat/>
    <w:uiPriority w:val="0"/>
    <w:rPr>
      <w:rFonts w:hint="eastAsia" w:ascii="仿宋_GB2312" w:hAnsi="仿宋_GB2312" w:eastAsia="仿宋_GB2312" w:cs="仿宋"/>
      <w:b/>
      <w:sz w:val="32"/>
      <w:szCs w:val="32"/>
    </w:rPr>
  </w:style>
  <w:style w:type="paragraph" w:customStyle="1" w:styleId="21">
    <w:name w:val="黑三标题"/>
    <w:basedOn w:val="1"/>
    <w:qFormat/>
    <w:uiPriority w:val="0"/>
    <w:pPr>
      <w:bidi/>
      <w:spacing w:before="50" w:beforeLines="50" w:after="50" w:afterLines="50" w:line="560" w:lineRule="exact"/>
      <w:ind w:left="0" w:firstLineChars="0"/>
      <w:jc w:val="center"/>
    </w:pPr>
    <w:rPr>
      <w:rFonts w:hint="eastAsia" w:ascii="黑体" w:hAnsi="黑体" w:eastAsia="黑体" w:cs="仿宋"/>
      <w:bCs/>
      <w:sz w:val="32"/>
      <w:szCs w:val="32"/>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656</Words>
  <Characters>672</Characters>
  <Lines>0</Lines>
  <Paragraphs>0</Paragraphs>
  <TotalTime>7</TotalTime>
  <ScaleCrop>false</ScaleCrop>
  <LinksUpToDate>false</LinksUpToDate>
  <CharactersWithSpaces>672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2021-07-02T02:26:00Z</dcterms:created>
  <dc:creator>admin</dc:creator>
  <cp:lastModifiedBy>Meng1206</cp:lastModifiedBy>
  <dcterms:modified xsi:type="dcterms:W3CDTF">2022-11-01T04:36:32Z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390C0D88C8474D45B42DF296ABAD33E5</vt:lpwstr>
  </property>
</Properties>
</file>