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附件2：</w:t>
      </w:r>
    </w:p>
    <w:p>
      <w:pPr>
        <w:overflowPunct w:val="0"/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仪陇县就业服务管理局考调工作人员岗位和条件要求一览表</w:t>
      </w:r>
    </w:p>
    <w:p>
      <w:pPr>
        <w:overflowPunct w:val="0"/>
        <w:spacing w:line="560" w:lineRule="exact"/>
        <w:jc w:val="center"/>
        <w:rPr>
          <w:rFonts w:hint="eastAsia" w:eastAsia="方正小标宋简体"/>
          <w:b/>
          <w:sz w:val="36"/>
          <w:szCs w:val="36"/>
        </w:rPr>
      </w:pPr>
    </w:p>
    <w:tbl>
      <w:tblPr>
        <w:tblStyle w:val="4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99"/>
        <w:gridCol w:w="610"/>
        <w:gridCol w:w="911"/>
        <w:gridCol w:w="2032"/>
        <w:gridCol w:w="2729"/>
        <w:gridCol w:w="877"/>
        <w:gridCol w:w="877"/>
        <w:gridCol w:w="877"/>
        <w:gridCol w:w="1587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考调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考调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学历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学位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黑体简体"/>
                <w:b/>
                <w:bCs/>
                <w:sz w:val="24"/>
                <w:szCs w:val="24"/>
              </w:rPr>
            </w:pPr>
            <w:r>
              <w:rPr>
                <w:rFonts w:eastAsia="方正黑体简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68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综合管理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公务员</w:t>
            </w:r>
          </w:p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（参公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人员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2729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县外报考人员须具有全日制大学本科及以上学历，县内报考人员须具有大学本科及以上学历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周岁以下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（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19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87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21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及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以后出生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OWQ0M2U4ODkzZDU0NzZiMDRlZmM2Y2VkYWJlYTkifQ=="/>
  </w:docVars>
  <w:rsids>
    <w:rsidRoot w:val="2E242813"/>
    <w:rsid w:val="2E242813"/>
    <w:rsid w:val="329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2022-10-21T08:02:00Z</dcterms:created>
  <dc:creator>蓝雨伞白布帆江里船</dc:creator>
  <cp:lastModifiedBy>蓝雨伞白布帆江里船</cp:lastModifiedBy>
  <dcterms:modified xsi:type="dcterms:W3CDTF">2022-10-24T08:39:39Z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EC4C9D46D4574F7EB4FB490909D15B8F</vt:lpwstr>
  </property>
</Properties>
</file>