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lang w:val="en-US" w:eastAsia="zh-CN"/>
          <w14:textFill>
            <w14:solidFill>
              <w14:schemeClr w14:val="tx1"/>
            </w14:solidFill>
          </w14:textFill>
        </w:rPr>
        <w:t>笔试疫情防控要求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考生参加</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笔试</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auto"/>
          <w:spacing w:val="0"/>
          <w:sz w:val="30"/>
          <w:szCs w:val="30"/>
          <w:highlight w:val="none"/>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w:t>
      </w: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健康码为绿码考生须提供开考前72小时内3次核酸检测阴性的证明【考前三天三检】</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（1）考前14天内有过发热（体温超过37.3℃）、咳嗽、气促等症状但排除新冠病毒感染的考生，须提供开考前72小时内3次(每天一次)核酸检测结果阴性的证明。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（2）考试前被有关部门划定为密接、次密接，考前14天有涉疫区旅居史人员，应按要求完成管控，取得相关证明并提供开考前72小时内3次(每天一次)核酸检测结果阴性的证明。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72小时内3次(每天一次)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海口市卫生健康委员会网站</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（二）应试要求</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2.考生出示“健康码”、“通信大数据行程卡”、纸质版开考前</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72小时内3次(每天一次)</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42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6" w:type="dxa"/>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p>
        </w:tc>
        <w:tc>
          <w:tcPr>
            <w:tcW w:w="4200" w:type="dxa"/>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381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6" w:type="dxa"/>
            <w:shd w:val="clear" w:color="auto" w:fill="FFFFFF"/>
            <w:vAlign w:val="center"/>
          </w:tcPr>
          <w:p>
            <w:pPr>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p>
        </w:tc>
        <w:tc>
          <w:tcPr>
            <w:tcW w:w="381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color w:val="000000" w:themeColor="text1"/>
          <w14:textFill>
            <w14:solidFill>
              <w14:schemeClr w14:val="tx1"/>
            </w14:solidFill>
          </w14:textFill>
        </w:rPr>
      </w:pPr>
      <w:r>
        <w:rPr>
          <w:rFonts w:hint="default" w:ascii="仿宋_GB2312" w:hAnsi="仿宋"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default" w:ascii="Calibri" w:hAnsi="Calibri" w:cs="Calibri"/>
          <w:i w:val="0"/>
          <w:iCs w:val="0"/>
          <w:caps w:val="0"/>
          <w:color w:val="000000" w:themeColor="text1"/>
          <w:spacing w:val="0"/>
          <w:sz w:val="21"/>
          <w:szCs w:val="21"/>
          <w14:textFill>
            <w14:solidFill>
              <w14:schemeClr w14:val="tx1"/>
            </w14:solidFill>
          </w14:textFill>
        </w:rPr>
      </w:pPr>
      <w:r>
        <w:rPr>
          <w:rFonts w:hint="default" w:ascii="仿宋_GB2312" w:hAnsi="仿宋"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74203A36"/>
    <w:rsid w:val="035A66F5"/>
    <w:rsid w:val="07873A5C"/>
    <w:rsid w:val="0A466333"/>
    <w:rsid w:val="0B91045B"/>
    <w:rsid w:val="164976AB"/>
    <w:rsid w:val="19DD0836"/>
    <w:rsid w:val="1A461709"/>
    <w:rsid w:val="1A9A2283"/>
    <w:rsid w:val="1B8847D2"/>
    <w:rsid w:val="218E2416"/>
    <w:rsid w:val="258C59A3"/>
    <w:rsid w:val="36211F7D"/>
    <w:rsid w:val="3AE40786"/>
    <w:rsid w:val="42254279"/>
    <w:rsid w:val="45044742"/>
    <w:rsid w:val="4C4C777C"/>
    <w:rsid w:val="56F76347"/>
    <w:rsid w:val="5FE315A4"/>
    <w:rsid w:val="62230BFC"/>
    <w:rsid w:val="659E6C3C"/>
    <w:rsid w:val="6BCB7ABB"/>
    <w:rsid w:val="6DFC6EB3"/>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1354</Words>
  <Characters>1396</Characters>
  <Lines>0</Lines>
  <Paragraphs>0</Paragraphs>
  <TotalTime>0</TotalTime>
  <ScaleCrop>false</ScaleCrop>
  <LinksUpToDate>false</LinksUpToDate>
  <CharactersWithSpaces>1396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南国人力-小陈</cp:lastModifiedBy>
  <dcterms:modified xsi:type="dcterms:W3CDTF">2022-10-16T02:32:02Z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9F46749A3B5F4E0EA0642809D528F8ED</vt:lpwstr>
  </property>
</Properties>
</file>