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kinsoku/>
        <w:wordWrap/>
        <w:overflowPunct/>
        <w:autoSpaceDE/>
        <w:autoSpaceDN/>
        <w:bidi w:val="0"/>
        <w:adjustRightInd/>
        <w:spacing w:before="0" w:beforeAutospacing="0" w:after="0" w:afterAutospacing="0" w:line="520" w:lineRule="exact"/>
        <w:rPr>
          <w:rFonts w:hint="default" w:ascii="方正黑体简体" w:hAnsi="方正黑体简体" w:eastAsia="方正黑体简体" w:cs="方正黑体简体"/>
          <w:color w:val="000000"/>
          <w:sz w:val="32"/>
          <w:szCs w:val="32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color w:val="000000"/>
          <w:sz w:val="32"/>
          <w:szCs w:val="32"/>
          <w:lang w:eastAsia="zh-CN"/>
        </w:rPr>
        <w:t>附件</w:t>
      </w:r>
      <w:r>
        <w:rPr>
          <w:rFonts w:hint="eastAsia" w:ascii="方正黑体简体" w:hAnsi="方正黑体简体" w:eastAsia="方正黑体简体" w:cs="方正黑体简体"/>
          <w:color w:val="000000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方正仿宋简体" w:hAnsi="方正仿宋简体" w:eastAsia="方正仿宋简体" w:cs="方正仿宋简体"/>
          <w:sz w:val="24"/>
          <w:szCs w:val="24"/>
          <w:lang w:val="en-US" w:eastAsia="zh-CN"/>
        </w:rPr>
      </w:pPr>
      <w:bookmarkStart w:id="0" w:name="_GoBack"/>
      <w:r>
        <w:rPr>
          <w:rStyle w:val="10"/>
          <w:rFonts w:hint="eastAsia" w:ascii="方正小标宋简体" w:eastAsia="方正小标宋简体"/>
          <w:b w:val="0"/>
          <w:kern w:val="0"/>
          <w:sz w:val="44"/>
          <w:szCs w:val="44"/>
        </w:rPr>
        <w:t>成都市青白江区2022年</w:t>
      </w:r>
      <w:r>
        <w:rPr>
          <w:rStyle w:val="10"/>
          <w:rFonts w:hint="eastAsia" w:ascii="方正小标宋简体" w:eastAsia="方正小标宋简体"/>
          <w:b w:val="0"/>
          <w:w w:val="95"/>
          <w:kern w:val="0"/>
          <w:sz w:val="44"/>
          <w:szCs w:val="44"/>
        </w:rPr>
        <w:t>面向社会公开</w:t>
      </w:r>
      <w:r>
        <w:rPr>
          <w:rStyle w:val="10"/>
          <w:rFonts w:hint="eastAsia" w:ascii="方正小标宋简体" w:eastAsia="方正小标宋简体"/>
          <w:b w:val="0"/>
          <w:w w:val="95"/>
          <w:kern w:val="0"/>
          <w:sz w:val="44"/>
          <w:szCs w:val="44"/>
          <w:lang w:eastAsia="zh-CN"/>
        </w:rPr>
        <w:t>招募公共卫生特别服务岗人员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岗位表</w:t>
      </w:r>
      <w:bookmarkEnd w:id="0"/>
      <w:r>
        <w:rPr>
          <w:rFonts w:hint="eastAsia" w:ascii="方正仿宋简体" w:hAnsi="方正仿宋简体" w:eastAsia="方正仿宋简体" w:cs="方正仿宋简体"/>
          <w:sz w:val="24"/>
          <w:szCs w:val="24"/>
          <w:lang w:val="en-US" w:eastAsia="zh-CN"/>
        </w:rPr>
        <w:t xml:space="preserve"> </w:t>
      </w:r>
    </w:p>
    <w:tbl>
      <w:tblPr>
        <w:tblStyle w:val="8"/>
        <w:tblpPr w:leftFromText="180" w:rightFromText="180" w:vertAnchor="text" w:horzAnchor="margin" w:tblpXSpec="center" w:tblpY="496"/>
        <w:tblOverlap w:val="never"/>
        <w:tblW w:w="0" w:type="auto"/>
        <w:tblInd w:w="3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6"/>
        <w:gridCol w:w="1300"/>
        <w:gridCol w:w="1215"/>
        <w:gridCol w:w="735"/>
        <w:gridCol w:w="1140"/>
        <w:gridCol w:w="960"/>
        <w:gridCol w:w="3633"/>
        <w:gridCol w:w="2022"/>
        <w:gridCol w:w="20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121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pacing w:line="520" w:lineRule="exact"/>
              <w:jc w:val="left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  <w:lang w:val="en-US" w:eastAsia="zh-CN"/>
              </w:rPr>
              <w:t>招募单位</w:t>
            </w:r>
          </w:p>
        </w:tc>
        <w:tc>
          <w:tcPr>
            <w:tcW w:w="130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pacing w:line="520" w:lineRule="exact"/>
              <w:jc w:val="left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  <w:lang w:val="en-US" w:eastAsia="zh-CN"/>
              </w:rPr>
              <w:t>岗位类型</w:t>
            </w:r>
          </w:p>
        </w:tc>
        <w:tc>
          <w:tcPr>
            <w:tcW w:w="121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pacing w:line="520" w:lineRule="exact"/>
              <w:jc w:val="left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  <w:lang w:val="en-US" w:eastAsia="zh-CN"/>
              </w:rPr>
              <w:t>岗位代码</w:t>
            </w:r>
          </w:p>
        </w:tc>
        <w:tc>
          <w:tcPr>
            <w:tcW w:w="73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pacing w:line="520" w:lineRule="exact"/>
              <w:jc w:val="left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  <w:lang w:val="en-US" w:eastAsia="zh-CN"/>
              </w:rPr>
              <w:t>招聘人数</w:t>
            </w:r>
          </w:p>
        </w:tc>
        <w:tc>
          <w:tcPr>
            <w:tcW w:w="775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pacing w:line="52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  <w:lang w:val="en-US" w:eastAsia="zh-CN"/>
              </w:rPr>
              <w:t>招聘条件</w:t>
            </w:r>
          </w:p>
        </w:tc>
        <w:tc>
          <w:tcPr>
            <w:tcW w:w="202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pacing w:line="520" w:lineRule="exact"/>
              <w:jc w:val="left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  <w:lang w:val="en-US" w:eastAsia="zh-CN"/>
              </w:rPr>
              <w:t>主要工作职责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121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pacing w:line="520" w:lineRule="exact"/>
              <w:jc w:val="left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</w:p>
        </w:tc>
        <w:tc>
          <w:tcPr>
            <w:tcW w:w="13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pacing w:line="520" w:lineRule="exact"/>
              <w:jc w:val="left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</w:p>
        </w:tc>
        <w:tc>
          <w:tcPr>
            <w:tcW w:w="121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pacing w:line="520" w:lineRule="exact"/>
              <w:jc w:val="left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</w:p>
        </w:tc>
        <w:tc>
          <w:tcPr>
            <w:tcW w:w="73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pacing w:line="520" w:lineRule="exact"/>
              <w:jc w:val="left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pacing w:line="52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  <w:lang w:val="en-US" w:eastAsia="zh-CN"/>
              </w:rPr>
              <w:t>学历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pacing w:line="52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  <w:lang w:val="en-US" w:eastAsia="zh-CN"/>
              </w:rPr>
              <w:t>专业</w:t>
            </w:r>
          </w:p>
        </w:tc>
        <w:tc>
          <w:tcPr>
            <w:tcW w:w="36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pacing w:line="52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  <w:lang w:val="en-US" w:eastAsia="zh-CN"/>
              </w:rPr>
              <w:t>其他条件</w:t>
            </w:r>
          </w:p>
        </w:tc>
        <w:tc>
          <w:tcPr>
            <w:tcW w:w="20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pacing w:line="52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  <w:lang w:val="en-US" w:eastAsia="zh-CN"/>
              </w:rPr>
              <w:t>备注</w:t>
            </w:r>
          </w:p>
        </w:tc>
        <w:tc>
          <w:tcPr>
            <w:tcW w:w="202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pacing w:line="520" w:lineRule="exact"/>
              <w:jc w:val="left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7" w:hRule="atLeast"/>
        </w:trPr>
        <w:tc>
          <w:tcPr>
            <w:tcW w:w="121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pacing w:line="520" w:lineRule="exact"/>
              <w:jc w:val="left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成都市青白江区卫健局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pacing w:line="520" w:lineRule="exact"/>
              <w:jc w:val="left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</w:p>
        </w:tc>
        <w:tc>
          <w:tcPr>
            <w:tcW w:w="13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pacing w:line="520" w:lineRule="exact"/>
              <w:jc w:val="left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医疗卫生岗（应急岗）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pacing w:line="520" w:lineRule="exact"/>
              <w:jc w:val="center"/>
              <w:rPr>
                <w:rFonts w:hint="default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0011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pacing w:line="520" w:lineRule="exact"/>
              <w:jc w:val="center"/>
              <w:rPr>
                <w:rFonts w:hint="default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pacing w:line="520" w:lineRule="exact"/>
              <w:jc w:val="left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大专及以上学历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pacing w:line="520" w:lineRule="exact"/>
              <w:jc w:val="left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医药卫生类专业</w:t>
            </w:r>
          </w:p>
        </w:tc>
        <w:tc>
          <w:tcPr>
            <w:tcW w:w="36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省内普通高校医药卫生类专业2022届毕业生；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离校未就业的省内普通高校2020、2021届医药卫生类专业大专及以上学历毕业生；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Chars="0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3.省外普通高校医药卫生类专业2020、2021、2022届大专及以上学历四川籍毕业生。</w:t>
            </w:r>
          </w:p>
        </w:tc>
        <w:tc>
          <w:tcPr>
            <w:tcW w:w="20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pacing w:line="520" w:lineRule="exact"/>
              <w:jc w:val="left"/>
              <w:rPr>
                <w:rFonts w:hint="default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服务期限1年，服务期满可申请延期。</w:t>
            </w:r>
          </w:p>
        </w:tc>
        <w:tc>
          <w:tcPr>
            <w:tcW w:w="202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pacing w:line="520" w:lineRule="exact"/>
              <w:jc w:val="left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协助开展核酸采样检测、医疗应急救治、隔离场所管控、流行病学调查、密接转运、传染病防治监督、公共卫生服务保障等工作。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pacing w:line="520" w:lineRule="exact"/>
              <w:jc w:val="left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atLeast"/>
        </w:trPr>
        <w:tc>
          <w:tcPr>
            <w:tcW w:w="121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pacing w:line="520" w:lineRule="exact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eastAsia="zh-CN"/>
              </w:rPr>
              <w:t>医疗卫生岗（其他岗）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pacing w:line="520" w:lineRule="exact"/>
              <w:jc w:val="center"/>
              <w:rPr>
                <w:rFonts w:hint="default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0012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pacing w:line="520" w:lineRule="exact"/>
              <w:jc w:val="center"/>
              <w:rPr>
                <w:rFonts w:hint="default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87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pacing w:line="52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eastAsia="zh-CN"/>
              </w:rPr>
              <w:t>大专及以上学历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pacing w:line="520" w:lineRule="exact"/>
              <w:jc w:val="left"/>
              <w:rPr>
                <w:rFonts w:ascii="方正仿宋简体" w:hAnsi="方正仿宋简体" w:eastAsia="方正仿宋简体" w:cs="方正仿宋简体"/>
              </w:rPr>
            </w:pPr>
            <w:r>
              <w:rPr>
                <w:rFonts w:hint="eastAsia" w:ascii="方正仿宋简体" w:hAnsi="方正仿宋简体" w:eastAsia="方正仿宋简体" w:cs="方正仿宋简体"/>
                <w:lang w:eastAsia="zh-CN"/>
              </w:rPr>
              <w:t>医药卫生类专业</w:t>
            </w:r>
          </w:p>
        </w:tc>
        <w:tc>
          <w:tcPr>
            <w:tcW w:w="36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1.省内普通高校医药卫生类专业2022届毕业生；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2.离校未就业的省内普通高校2020、2021届医药卫生类专业大专及以上学历毕业生；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3.省外普通高校医药卫生类专业2020、2021、2022届大专及以上学历四川籍毕业生。</w:t>
            </w:r>
          </w:p>
        </w:tc>
        <w:tc>
          <w:tcPr>
            <w:tcW w:w="20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pacing w:line="520" w:lineRule="exact"/>
              <w:jc w:val="left"/>
              <w:rPr>
                <w:rFonts w:hint="default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eastAsia="zh-CN"/>
              </w:rPr>
              <w:t>服务期限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3年</w:t>
            </w:r>
          </w:p>
        </w:tc>
        <w:tc>
          <w:tcPr>
            <w:tcW w:w="202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pacing w:line="520" w:lineRule="exact"/>
              <w:jc w:val="left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4" w:hRule="atLeast"/>
        </w:trPr>
        <w:tc>
          <w:tcPr>
            <w:tcW w:w="12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eastAsia="zh-CN"/>
              </w:rPr>
              <w:t>成都市青白江区教育局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pacing w:line="52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eastAsia="zh-CN"/>
              </w:rPr>
              <w:t>校医辅助岗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pacing w:line="520" w:lineRule="exact"/>
              <w:jc w:val="center"/>
              <w:rPr>
                <w:rFonts w:hint="default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0013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pacing w:line="520" w:lineRule="exact"/>
              <w:jc w:val="center"/>
              <w:rPr>
                <w:rFonts w:hint="default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pacing w:line="520" w:lineRule="exact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eastAsia="zh-CN"/>
              </w:rPr>
              <w:t>大专及以上学历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pacing w:line="520" w:lineRule="exact"/>
              <w:jc w:val="left"/>
              <w:rPr>
                <w:rFonts w:ascii="方正仿宋简体" w:hAnsi="方正仿宋简体" w:eastAsia="方正仿宋简体" w:cs="方正仿宋简体"/>
              </w:rPr>
            </w:pPr>
            <w:r>
              <w:rPr>
                <w:rFonts w:hint="eastAsia" w:ascii="方正仿宋简体" w:hAnsi="方正仿宋简体" w:eastAsia="方正仿宋简体" w:cs="方正仿宋简体"/>
                <w:lang w:eastAsia="zh-CN"/>
              </w:rPr>
              <w:t>医药卫生类专业</w:t>
            </w:r>
          </w:p>
        </w:tc>
        <w:tc>
          <w:tcPr>
            <w:tcW w:w="36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1.省内普通高校医药卫生类专业2022届毕业生；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2.离校未就业的省内普通高校2020、2021届医药卫生类专业大专及以上学历毕业生；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3.省外普通高校医药卫生类专业2020、2021、2022届大专及以上学历四川籍毕业生。</w:t>
            </w:r>
          </w:p>
        </w:tc>
        <w:tc>
          <w:tcPr>
            <w:tcW w:w="20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pacing w:line="520" w:lineRule="exact"/>
              <w:jc w:val="left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eastAsia="zh-CN"/>
              </w:rPr>
              <w:t>服务期限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3年</w:t>
            </w:r>
          </w:p>
        </w:tc>
        <w:tc>
          <w:tcPr>
            <w:tcW w:w="20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pacing w:line="520" w:lineRule="exact"/>
              <w:jc w:val="left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协助开展中小学校卫生与健康教育、传染病哨点监测及预防控制等工作。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2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eastAsia="zh-CN"/>
              </w:rPr>
              <w:t>合计</w:t>
            </w:r>
          </w:p>
        </w:tc>
        <w:tc>
          <w:tcPr>
            <w:tcW w:w="13027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pacing w:line="520" w:lineRule="exact"/>
              <w:jc w:val="center"/>
              <w:rPr>
                <w:rFonts w:hint="eastAsia" w:ascii="方正仿宋简体" w:hAnsi="方正仿宋简体" w:eastAsia="方正仿宋简体" w:cs="方正仿宋简体"/>
                <w:w w:val="95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w w:val="95"/>
                <w:sz w:val="24"/>
                <w:szCs w:val="24"/>
                <w:lang w:val="en-US" w:eastAsia="zh-CN"/>
              </w:rPr>
              <w:t>123人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 PL UKai CN">
    <w:altName w:val="SimSun-ExtB"/>
    <w:panose1 w:val="02000503000000000000"/>
    <w:charset w:val="00"/>
    <w:family w:val="script"/>
    <w:pitch w:val="default"/>
    <w:sig w:usb0="00000000" w:usb1="00000000" w:usb2="00000036" w:usb3="00000000" w:csb0="2016009F" w:csb1="DFD70000"/>
  </w:font>
  <w:font w:name="方正黑体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3B01533"/>
    <w:multiLevelType w:val="singleLevel"/>
    <w:tmpl w:val="43B0153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4ZDVlMWU2MDgzZGY2ZmFkZjIwNGM1OTFiN2M2NmMifQ=="/>
  </w:docVars>
  <w:rsids>
    <w:rsidRoot w:val="06CF4640"/>
    <w:rsid w:val="06CF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5"/>
    <w:qFormat/>
    <w:uiPriority w:val="0"/>
    <w:pPr>
      <w:ind w:firstLine="420" w:firstLineChars="200"/>
    </w:pPr>
  </w:style>
  <w:style w:type="paragraph" w:styleId="3">
    <w:name w:val="Body Text Indent"/>
    <w:basedOn w:val="1"/>
    <w:next w:val="4"/>
    <w:qFormat/>
    <w:uiPriority w:val="0"/>
    <w:pPr>
      <w:spacing w:after="120"/>
      <w:ind w:left="420" w:leftChars="200"/>
    </w:pPr>
  </w:style>
  <w:style w:type="paragraph" w:styleId="4">
    <w:name w:val="Normal Indent"/>
    <w:basedOn w:val="1"/>
    <w:qFormat/>
    <w:uiPriority w:val="0"/>
    <w:pPr>
      <w:ind w:firstLine="420" w:firstLineChars="200"/>
    </w:pPr>
    <w:rPr>
      <w:rFonts w:ascii="Calibri" w:hAnsi="Calibri" w:eastAsia="仿宋"/>
      <w:sz w:val="32"/>
    </w:rPr>
  </w:style>
  <w:style w:type="paragraph" w:styleId="5">
    <w:name w:val="caption"/>
    <w:basedOn w:val="1"/>
    <w:next w:val="1"/>
    <w:qFormat/>
    <w:uiPriority w:val="0"/>
    <w:pPr>
      <w:suppressLineNumbers/>
      <w:suppressAutoHyphens/>
      <w:spacing w:before="120" w:after="120"/>
    </w:pPr>
    <w:rPr>
      <w:rFonts w:ascii="等线" w:hAnsi="AR PL UKai CN" w:eastAsia="等线"/>
      <w:i/>
      <w:iCs/>
      <w:sz w:val="24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2022-10-08T09:27:00Z</dcterms:created>
  <dc:creator>虫鸣</dc:creator>
  <cp:lastModifiedBy>虫鸣</cp:lastModifiedBy>
  <dcterms:modified xsi:type="dcterms:W3CDTF">2022-10-08T09:29:31Z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E9DCB9F4CB4F48B8A72CDF001E7B250D</vt:lpwstr>
  </property>
</Properties>
</file>