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附件2：</w:t>
      </w:r>
    </w:p>
    <w:p>
      <w:pPr>
        <w:jc w:val="center"/>
        <w:rPr>
          <w:rFonts w:hint="eastAsia" w:ascii="方正小标宋简体" w:eastAsia="方正小标宋简体"/>
          <w:sz w:val="36"/>
        </w:rPr>
      </w:pPr>
      <w:r>
        <w:rPr>
          <w:rFonts w:hint="eastAsia" w:ascii="方正小标宋简体" w:eastAsia="方正小标宋简体"/>
          <w:sz w:val="36"/>
        </w:rPr>
        <w:t>临沂市妇幼保健院</w:t>
      </w:r>
    </w:p>
    <w:p>
      <w:pPr>
        <w:jc w:val="center"/>
        <w:rPr>
          <w:rFonts w:ascii="方正小标宋简体" w:eastAsia="方正小标宋简体"/>
          <w:sz w:val="36"/>
        </w:rPr>
      </w:pPr>
      <w:r>
        <w:rPr>
          <w:rFonts w:hint="eastAsia"/>
          <w:sz w:val="36"/>
        </w:rPr>
        <w:t>2022</w:t>
      </w:r>
      <w:r>
        <w:rPr>
          <w:rFonts w:hint="eastAsia" w:ascii="方正小标宋简体" w:eastAsia="方正小标宋简体"/>
          <w:sz w:val="36"/>
        </w:rPr>
        <w:t>年引进高层次急需紧缺专业人才需求计划表</w:t>
      </w:r>
    </w:p>
    <w:tbl>
      <w:tblPr>
        <w:tblStyle w:val="3"/>
        <w:tblW w:w="10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9"/>
        <w:gridCol w:w="709"/>
        <w:gridCol w:w="3796"/>
        <w:gridCol w:w="74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noWrap/>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引进岗位</w:t>
            </w:r>
          </w:p>
        </w:tc>
        <w:tc>
          <w:tcPr>
            <w:tcW w:w="709" w:type="dxa"/>
            <w:shd w:val="clear" w:color="auto" w:fill="auto"/>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学历要求</w:t>
            </w:r>
          </w:p>
        </w:tc>
        <w:tc>
          <w:tcPr>
            <w:tcW w:w="709" w:type="dxa"/>
            <w:shd w:val="clear" w:color="auto" w:fill="auto"/>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学位要求</w:t>
            </w:r>
          </w:p>
        </w:tc>
        <w:tc>
          <w:tcPr>
            <w:tcW w:w="3796" w:type="dxa"/>
            <w:shd w:val="clear" w:color="auto" w:fill="auto"/>
            <w:noWrap/>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岗位专业要求</w:t>
            </w:r>
          </w:p>
        </w:tc>
        <w:tc>
          <w:tcPr>
            <w:tcW w:w="740" w:type="dxa"/>
            <w:shd w:val="clear" w:color="auto" w:fill="auto"/>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引进数量</w:t>
            </w:r>
          </w:p>
        </w:tc>
        <w:tc>
          <w:tcPr>
            <w:tcW w:w="3402" w:type="dxa"/>
            <w:shd w:val="clear" w:color="auto" w:fill="auto"/>
            <w:noWrap/>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医学博士岗位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博士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医学类相关专业</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15</w:t>
            </w:r>
          </w:p>
        </w:tc>
        <w:tc>
          <w:tcPr>
            <w:tcW w:w="3402" w:type="dxa"/>
            <w:shd w:val="clear" w:color="auto" w:fill="auto"/>
            <w:vAlign w:val="center"/>
          </w:tcPr>
          <w:p>
            <w:pPr>
              <w:widowControl/>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儿科岗位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临床医学一级学科（儿科学方向）、临床医学专业学位（儿科学方向）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3</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针灸推拿岗位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中医学一级学科（针灸推拿学方向）、中医专业学位（针灸推拿学方向）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2</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1、具有普通高等院校针灸推拿学专业本科学历；2、具有执业医师资格证书和住院医师规范化培训合格证书或主治医师资格证书。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内科岗位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临床医学一级学科（内科学心血管病、呼吸系病、消化系病、重症方向，神经病学方向）、临床医学专业学位（内科学心血管病、呼吸系病、消化系病、重症方向，神经病学方向）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6</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医学心理岗位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精神病与精神卫生学方向）、临床医学专业学位（精神病与精神卫生学方向）、临床医学一级学科（精神病与精神卫生学儿童青少年精神心理方向）、临床医学专业学位（精神病与精神卫生学儿童青少年精神心理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4</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1、具有普通高等院校精神医学或临床医学专业本科学历；2、具有执业医师资格证书和住院医师规范化培训合格证书或主治医师资格证书。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急诊重症岗位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临床医学一级学科（急诊医学方向）、临床医学专业学位（急诊医学方向）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2</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小儿外科岗位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临床医学一级学科（儿科学小儿骨外科、小儿神经外科、小儿普外科、小儿心胸外科方向）、临床医学专业学位（儿科学小儿骨外科、小儿神经外科、小儿普外科、小儿心胸外科方向）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2</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引进岗位</w:t>
            </w:r>
          </w:p>
        </w:tc>
        <w:tc>
          <w:tcPr>
            <w:tcW w:w="709" w:type="dxa"/>
            <w:shd w:val="clear" w:color="000000" w:fill="FFFFFF"/>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学历要求</w:t>
            </w:r>
          </w:p>
        </w:tc>
        <w:tc>
          <w:tcPr>
            <w:tcW w:w="709" w:type="dxa"/>
            <w:shd w:val="clear" w:color="000000" w:fill="FFFFFF"/>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学位要求</w:t>
            </w:r>
          </w:p>
        </w:tc>
        <w:tc>
          <w:tcPr>
            <w:tcW w:w="3796" w:type="dxa"/>
            <w:shd w:val="clear" w:color="auto" w:fill="auto"/>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岗位专业要求</w:t>
            </w:r>
          </w:p>
        </w:tc>
        <w:tc>
          <w:tcPr>
            <w:tcW w:w="740" w:type="dxa"/>
            <w:shd w:val="clear" w:color="auto" w:fill="auto"/>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引进数量</w:t>
            </w:r>
          </w:p>
        </w:tc>
        <w:tc>
          <w:tcPr>
            <w:tcW w:w="3402" w:type="dxa"/>
            <w:shd w:val="clear" w:color="auto" w:fill="auto"/>
            <w:vAlign w:val="center"/>
          </w:tcPr>
          <w:p>
            <w:pPr>
              <w:widowControl/>
              <w:jc w:val="center"/>
              <w:rPr>
                <w:rFonts w:ascii="黑体" w:hAnsi="宋体" w:eastAsia="黑体" w:cs="宋体"/>
                <w:bCs/>
                <w:color w:val="000000"/>
                <w:kern w:val="0"/>
                <w:sz w:val="24"/>
                <w:szCs w:val="24"/>
              </w:rPr>
            </w:pPr>
            <w:r>
              <w:rPr>
                <w:rFonts w:hint="eastAsia" w:ascii="黑体" w:hAnsi="宋体" w:eastAsia="黑体" w:cs="宋体"/>
                <w:bCs/>
                <w:color w:val="000000"/>
                <w:kern w:val="0"/>
                <w:sz w:val="24"/>
                <w:szCs w:val="24"/>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外科岗位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外科学颅脑外科、心胸外科、骨外科、创伤外科、胃肠外科、肝胆外科、泌尿外科方向）、临床医学专业学位（外科学颅脑外科、心胸外科、骨外科、创伤外科、胃肠外科、肝胆外科、泌尿外科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6</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耳鼻喉岗位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医学技术一级学科（听力与言语康复学方向）、临床医学一级学科（耳鼻咽喉科学方向）、临床医学专业学位（耳鼻咽喉科学方向）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2</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口腔岗位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口腔医学一级学科（口腔临床医学口腔颌面外科、口腔内科方向）、口腔医学专业学位（口腔临床医学口腔颌面外科、口腔内科方向）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3</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1、具有普通高等院校口腔医学专业本科学历；2、具有执业医师资格证书和住院医师规范化培训合格证书或主治医师资格证书。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tcBorders>
              <w:bottom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皮肤岗位</w:t>
            </w:r>
          </w:p>
        </w:tc>
        <w:tc>
          <w:tcPr>
            <w:tcW w:w="709" w:type="dxa"/>
            <w:tcBorders>
              <w:bottom w:val="single" w:color="auto" w:sz="4" w:space="0"/>
            </w:tcBorders>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tcBorders>
              <w:bottom w:val="single" w:color="auto" w:sz="4" w:space="0"/>
            </w:tcBorders>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tcBorders>
              <w:bottom w:val="single" w:color="auto" w:sz="4" w:space="0"/>
            </w:tcBorders>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临床医学一级学科（皮肤病与性病学方向）、临床医学专业学位（皮肤病与性病学方向）</w:t>
            </w:r>
          </w:p>
        </w:tc>
        <w:tc>
          <w:tcPr>
            <w:tcW w:w="740" w:type="dxa"/>
            <w:tcBorders>
              <w:bottom w:val="single" w:color="auto" w:sz="4" w:space="0"/>
            </w:tcBorders>
            <w:shd w:val="clear" w:color="auto" w:fill="auto"/>
            <w:vAlign w:val="center"/>
          </w:tcPr>
          <w:p>
            <w:pPr>
              <w:widowControl/>
              <w:jc w:val="center"/>
              <w:rPr>
                <w:rFonts w:cs="Times New Roman"/>
                <w:kern w:val="0"/>
                <w:sz w:val="24"/>
                <w:szCs w:val="24"/>
              </w:rPr>
            </w:pPr>
            <w:r>
              <w:rPr>
                <w:rFonts w:cs="Times New Roman"/>
                <w:kern w:val="0"/>
                <w:sz w:val="24"/>
                <w:szCs w:val="24"/>
              </w:rPr>
              <w:t>2</w:t>
            </w:r>
          </w:p>
        </w:tc>
        <w:tc>
          <w:tcPr>
            <w:tcW w:w="3402" w:type="dxa"/>
            <w:tcBorders>
              <w:bottom w:val="single" w:color="auto" w:sz="4" w:space="0"/>
            </w:tcBorders>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tcBorders>
              <w:top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病理岗位</w:t>
            </w:r>
          </w:p>
        </w:tc>
        <w:tc>
          <w:tcPr>
            <w:tcW w:w="709" w:type="dxa"/>
            <w:tcBorders>
              <w:top w:val="single" w:color="auto" w:sz="4" w:space="0"/>
            </w:tcBorders>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tcBorders>
              <w:top w:val="single" w:color="auto" w:sz="4" w:space="0"/>
            </w:tcBorders>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tcBorders>
              <w:top w:val="single" w:color="auto" w:sz="4" w:space="0"/>
            </w:tcBorders>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临床医学一级学科（临床病理学、病理学与病理生理学方向）、临床医学专业学位（临床病理学、病理学与病理生理学方向）</w:t>
            </w:r>
          </w:p>
        </w:tc>
        <w:tc>
          <w:tcPr>
            <w:tcW w:w="740" w:type="dxa"/>
            <w:tcBorders>
              <w:top w:val="single" w:color="auto" w:sz="4" w:space="0"/>
            </w:tcBorders>
            <w:shd w:val="clear" w:color="auto" w:fill="auto"/>
            <w:vAlign w:val="center"/>
          </w:tcPr>
          <w:p>
            <w:pPr>
              <w:widowControl/>
              <w:jc w:val="center"/>
              <w:rPr>
                <w:rFonts w:cs="Times New Roman"/>
                <w:kern w:val="0"/>
                <w:sz w:val="24"/>
                <w:szCs w:val="24"/>
              </w:rPr>
            </w:pPr>
            <w:r>
              <w:rPr>
                <w:rFonts w:cs="Times New Roman"/>
                <w:kern w:val="0"/>
                <w:sz w:val="24"/>
                <w:szCs w:val="24"/>
              </w:rPr>
              <w:t>1</w:t>
            </w:r>
          </w:p>
        </w:tc>
        <w:tc>
          <w:tcPr>
            <w:tcW w:w="3402" w:type="dxa"/>
            <w:tcBorders>
              <w:top w:val="single" w:color="auto" w:sz="4" w:space="0"/>
            </w:tcBorders>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麻醉岗位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临床医学一级学科（麻醉学方向）、临床医学专业学位（麻醉学方向）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3</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1、具有普通高等院校麻醉学或临床医学专业本科学历；2、具有执业医师资格证书和住院医师规范化培训合格证书或主治医师资格证书。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影像诊断岗位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临床医学一级学科（影像医学与核医学方向）、临床医学专业学位（影像医学与核医学方向）</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6</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1、具有普通高等院校医学影像学专业本科学历；2、具有执业医师资格证书和住院医师规范化培训合格证书或主治医师资格证书。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临床护理岗位</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研究生</w:t>
            </w:r>
          </w:p>
        </w:tc>
        <w:tc>
          <w:tcPr>
            <w:tcW w:w="709" w:type="dxa"/>
            <w:shd w:val="clear" w:color="000000" w:fill="FFFFFF"/>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硕士</w:t>
            </w:r>
          </w:p>
        </w:tc>
        <w:tc>
          <w:tcPr>
            <w:tcW w:w="3796" w:type="dxa"/>
            <w:shd w:val="clear" w:color="auto" w:fill="auto"/>
            <w:vAlign w:val="center"/>
          </w:tcPr>
          <w:p>
            <w:pPr>
              <w:widowControl/>
              <w:rPr>
                <w:rFonts w:ascii="仿宋_GB2312" w:hAnsi="宋体" w:cs="宋体"/>
                <w:kern w:val="0"/>
                <w:sz w:val="24"/>
                <w:szCs w:val="24"/>
              </w:rPr>
            </w:pPr>
            <w:r>
              <w:rPr>
                <w:rFonts w:hint="eastAsia" w:ascii="仿宋_GB2312" w:hAnsi="宋体" w:cs="宋体"/>
                <w:kern w:val="0"/>
                <w:sz w:val="24"/>
                <w:szCs w:val="24"/>
              </w:rPr>
              <w:t>临床医学一级学科（护理学方向）、护理学一级学科、护理专业学位</w:t>
            </w:r>
          </w:p>
        </w:tc>
        <w:tc>
          <w:tcPr>
            <w:tcW w:w="740" w:type="dxa"/>
            <w:shd w:val="clear" w:color="auto" w:fill="auto"/>
            <w:vAlign w:val="center"/>
          </w:tcPr>
          <w:p>
            <w:pPr>
              <w:widowControl/>
              <w:jc w:val="center"/>
              <w:rPr>
                <w:rFonts w:cs="Times New Roman"/>
                <w:kern w:val="0"/>
                <w:sz w:val="24"/>
                <w:szCs w:val="24"/>
              </w:rPr>
            </w:pPr>
            <w:r>
              <w:rPr>
                <w:rFonts w:cs="Times New Roman"/>
                <w:kern w:val="0"/>
                <w:sz w:val="24"/>
                <w:szCs w:val="24"/>
              </w:rPr>
              <w:t>2</w:t>
            </w:r>
          </w:p>
        </w:tc>
        <w:tc>
          <w:tcPr>
            <w:tcW w:w="3402" w:type="dxa"/>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具有护士执业证书或取得护士执业资格考试成绩合格证明。</w:t>
            </w:r>
          </w:p>
        </w:tc>
      </w:tr>
    </w:tbl>
    <w:p>
      <w:pPr>
        <w:rPr>
          <w:rFonts w:hint="eastAsia"/>
        </w:rPr>
      </w:pP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53"/>
    <w:rsid w:val="004F6AFA"/>
    <w:rsid w:val="004F71DD"/>
    <w:rsid w:val="00620C53"/>
    <w:rsid w:val="006E1228"/>
    <w:rsid w:val="00D05BDC"/>
    <w:rsid w:val="00DA24F0"/>
    <w:rsid w:val="441507F8"/>
    <w:rsid w:val="4A42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 w:type="character" w:customStyle="1" w:styleId="7">
    <w:name w:val="日期 字符"/>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662</Words>
  <Characters>3777</Characters>
  <Lines>31</Lines>
  <Paragraphs>8</Paragraphs>
  <TotalTime>25</TotalTime>
  <ScaleCrop>false</ScaleCrop>
  <LinksUpToDate>false</LinksUpToDate>
  <CharactersWithSpaces>4431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2022-09-13T03:22:00Z</dcterms:created>
  <dc:creator>gyb1</dc:creator>
  <cp:lastModifiedBy>文档存本地丢失不负责</cp:lastModifiedBy>
  <dcterms:modified xsi:type="dcterms:W3CDTF">2022-09-13T08:23:01Z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