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ascii="仿宋_GB2312" w:hAnsi="黑体" w:eastAsia="仿宋_GB2312" w:cs="黑体"/>
          <w:sz w:val="32"/>
          <w:szCs w:val="32"/>
        </w:rPr>
        <w:t>2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jc w:val="center"/>
        <w:rPr>
          <w:rFonts w:eastAsia="宋体"/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云南省申请教师资格认定人员体检表</w:t>
      </w:r>
      <w:r>
        <w:rPr>
          <w:rFonts w:hint="eastAsia"/>
          <w:b/>
          <w:color w:val="FF0000"/>
          <w:sz w:val="30"/>
          <w:szCs w:val="30"/>
        </w:rPr>
        <w:t>（双面打印）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54"/>
        <w:gridCol w:w="388"/>
        <w:gridCol w:w="735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242" w:type="dxa"/>
            <w:gridSpan w:val="2"/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736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ind w:firstLine="210" w:firstLineChars="100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婚否</w:t>
            </w:r>
          </w:p>
        </w:tc>
        <w:tc>
          <w:tcPr>
            <w:tcW w:w="529" w:type="dxa"/>
            <w:gridSpan w:val="3"/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619" w:type="dxa"/>
            <w:vMerge w:val="restart"/>
            <w:noWrap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相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籍贯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12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79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692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</w:p>
          <w:p>
            <w:pPr>
              <w:jc w:val="center"/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(本人如实填写)</w:t>
            </w:r>
          </w:p>
        </w:tc>
        <w:tc>
          <w:tcPr>
            <w:tcW w:w="5797" w:type="dxa"/>
            <w:gridSpan w:val="16"/>
            <w:tcBorders>
              <w:top w:val="single" w:color="auto" w:sz="4" w:space="0"/>
            </w:tcBorders>
            <w:noWrap/>
          </w:tcPr>
          <w:p/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>本人签字:</w:t>
            </w: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裸眼</w:t>
            </w:r>
          </w:p>
          <w:p>
            <w:pPr>
              <w:jc w:val="center"/>
            </w:pPr>
            <w:r>
              <w:rPr>
                <w:rFonts w:hint="eastAsia"/>
                <w:position w:val="-32"/>
              </w:rPr>
              <w:t>视力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jc w:val="center"/>
            </w:pPr>
            <w:r>
              <w:rPr>
                <w:rFonts w:hint="eastAsia"/>
                <w:position w:val="-28"/>
              </w:rPr>
              <w:t>视力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矫正</w:t>
            </w:r>
          </w:p>
          <w:p>
            <w:pPr>
              <w:jc w:val="center"/>
            </w:pPr>
            <w:r>
              <w:rPr>
                <w:rFonts w:hint="eastAsia"/>
                <w:position w:val="-28"/>
              </w:rPr>
              <w:t>度数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vMerge w:val="continue"/>
            <w:noWrap/>
          </w:tcPr>
          <w:p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/>
          </w:tcPr>
          <w:p/>
        </w:tc>
        <w:tc>
          <w:tcPr>
            <w:tcW w:w="1069" w:type="dxa"/>
            <w:gridSpan w:val="5"/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/>
          </w:tcPr>
          <w:p/>
        </w:tc>
        <w:tc>
          <w:tcPr>
            <w:tcW w:w="1444" w:type="dxa"/>
            <w:gridSpan w:val="2"/>
            <w:noWrap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/>
          </w:tcPr>
          <w:p/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听力</w:t>
            </w:r>
          </w:p>
        </w:tc>
        <w:tc>
          <w:tcPr>
            <w:tcW w:w="2356" w:type="dxa"/>
            <w:gridSpan w:val="6"/>
            <w:tcBorders>
              <w:top w:val="single" w:color="auto" w:sz="4" w:space="0"/>
            </w:tcBorders>
            <w:noWrap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右耳米</w:t>
            </w: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面部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其它</w:t>
            </w:r>
          </w:p>
        </w:tc>
        <w:tc>
          <w:tcPr>
            <w:tcW w:w="5409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身高</w:t>
            </w:r>
          </w:p>
        </w:tc>
        <w:tc>
          <w:tcPr>
            <w:tcW w:w="2165" w:type="dxa"/>
            <w:gridSpan w:val="5"/>
            <w:tcBorders>
              <w:top w:val="nil"/>
              <w:bottom w:val="single" w:color="auto" w:sz="4" w:space="0"/>
            </w:tcBorders>
            <w:noWrap/>
          </w:tcPr>
          <w:p>
            <w:pPr>
              <w:ind w:firstLine="1260" w:firstLineChars="6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/>
          </w:tcPr>
          <w:p>
            <w:pPr>
              <w:ind w:firstLine="840" w:firstLineChars="4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noWrap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淋巴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四肢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皮肤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5409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</w:tcPr>
          <w:p/>
          <w:p/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/>
          </w:tcPr>
          <w:p/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Y="194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</w:p>
        </w:tc>
        <w:tc>
          <w:tcPr>
            <w:tcW w:w="1428" w:type="dxa"/>
            <w:vMerge w:val="restart"/>
            <w:noWrap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</w:p>
        </w:tc>
        <w:tc>
          <w:tcPr>
            <w:tcW w:w="1428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</w:p>
        </w:tc>
        <w:tc>
          <w:tcPr>
            <w:tcW w:w="1428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</w:p>
        </w:tc>
        <w:tc>
          <w:tcPr>
            <w:tcW w:w="1428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  <w:bookmarkStart w:id="0" w:name="_GoBack"/>
            <w:bookmarkEnd w:id="0"/>
          </w:p>
        </w:tc>
        <w:tc>
          <w:tcPr>
            <w:tcW w:w="1428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noWrap/>
            <w:vAlign w:val="top"/>
          </w:tcPr>
          <w:p>
            <w:pPr>
              <w:jc w:val="left"/>
            </w:pPr>
          </w:p>
        </w:tc>
        <w:tc>
          <w:tcPr>
            <w:tcW w:w="1428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8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18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化验检查(附化验单)</w:t>
            </w:r>
          </w:p>
        </w:tc>
        <w:tc>
          <w:tcPr>
            <w:tcW w:w="6493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187" w:type="dxa"/>
            <w:gridSpan w:val="2"/>
            <w:noWrap/>
          </w:tcPr>
          <w:p/>
          <w:p/>
          <w:p/>
          <w:p/>
          <w:p/>
          <w:p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noWrap/>
          </w:tcPr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187" w:type="dxa"/>
            <w:gridSpan w:val="2"/>
            <w:noWrap/>
            <w:vAlign w:val="center"/>
          </w:tcPr>
          <w:p>
            <w:pPr>
              <w:ind w:left="210" w:hanging="210" w:hangingChars="100"/>
            </w:pPr>
            <w:r>
              <w:rPr>
                <w:rFonts w:hint="eastAsia"/>
              </w:rPr>
              <w:t>体检医院意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  <w:noWrap/>
          </w:tcPr>
          <w:p/>
          <w:p/>
          <w:p/>
          <w:p/>
          <w:p/>
          <w:p/>
          <w:p/>
          <w:p>
            <w:pPr>
              <w:ind w:firstLine="5250" w:firstLineChars="2500"/>
            </w:pPr>
            <w:r>
              <w:rPr>
                <w:rFonts w:hint="eastAsia"/>
              </w:rPr>
              <w:t>体检医院公章</w:t>
            </w:r>
          </w:p>
          <w:p>
            <w:pPr>
              <w:ind w:firstLine="5400"/>
            </w:pPr>
          </w:p>
          <w:p>
            <w:pPr>
              <w:ind w:firstLine="5400"/>
            </w:pP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说明:</w:t>
      </w:r>
      <w:r>
        <w:rPr>
          <w:color w:val="FF0000"/>
          <w:sz w:val="24"/>
        </w:rPr>
        <w:t>1.</w:t>
      </w:r>
      <w:r>
        <w:rPr>
          <w:rFonts w:hint="eastAsia"/>
          <w:color w:val="FF0000"/>
          <w:sz w:val="24"/>
        </w:rPr>
        <w:t>既往病史指肝炎、结核、皮肤病、性传播性疾病、精神病及其他病史。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/>
          <w:color w:val="FF0000"/>
          <w:sz w:val="24"/>
          <w:u w:val="single"/>
        </w:rPr>
      </w:pPr>
      <w:r>
        <w:rPr>
          <w:rFonts w:hint="eastAsia"/>
          <w:color w:val="FF0000"/>
          <w:sz w:val="24"/>
          <w:u w:val="single"/>
        </w:rPr>
        <w:t>申报幼儿园教师资格认定的申请人</w:t>
      </w:r>
      <w:r>
        <w:rPr>
          <w:rFonts w:hint="eastAsia"/>
          <w:color w:val="FF0000"/>
          <w:sz w:val="24"/>
        </w:rPr>
        <w:t>，根据教育部教师资格认定指导中心《关于调整申请认定幼儿园教师资格人员体检标准的通知》（教资字【2</w:t>
      </w:r>
      <w:r>
        <w:rPr>
          <w:color w:val="FF0000"/>
          <w:sz w:val="24"/>
        </w:rPr>
        <w:t>010</w:t>
      </w:r>
      <w:r>
        <w:rPr>
          <w:rFonts w:hint="eastAsia"/>
          <w:color w:val="FF0000"/>
          <w:sz w:val="24"/>
        </w:rPr>
        <w:t>】1</w:t>
      </w:r>
      <w:r>
        <w:rPr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>号）通知要求，</w:t>
      </w:r>
      <w:r>
        <w:rPr>
          <w:rFonts w:hint="eastAsia"/>
          <w:color w:val="FF0000"/>
          <w:sz w:val="24"/>
          <w:u w:val="single"/>
        </w:rPr>
        <w:t>增加淋球菌、病毒螺旋体、滴虫、外阴阴道假丝酵母菌（念球菌）（后两项指妇科）检查项目。</w:t>
      </w:r>
    </w:p>
    <w:p>
      <w:pPr>
        <w:numPr>
          <w:numId w:val="0"/>
        </w:numPr>
        <w:ind w:left="600" w:leftChars="0"/>
        <w:rPr>
          <w:rFonts w:hint="eastAsia"/>
          <w:sz w:val="24"/>
          <w:u w:val="single"/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云南省申请教师资格人员体检办法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1.器质性心脏病（风湿性心脏病、先天性心脏病、心肌病、频发性期前收缩、心电图不正常)。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3.结核病未治愈者。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4.支气管扩张病,未治愈者。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7.慢性肾炎，未治愈者。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8.e癫痫病史、精神病史、癔病史、遗尿症、夜游症。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9.肝切除超过一叶;肺不张一叶以上。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10.类风湿脊柱强直;慢性骨髓炎。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11.麻风病患者,未治愈。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12.HIV病毒感染者。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13.青光眼;视网膜、视神经疾病(陈旧性或稳定性眼底病除外)。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15.两耳听力均低于2米。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17.严重的口吃、口腔有生理缺陷及耳、鼻、喉疾病之一妨碍教学工作者。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18.面部有较大面积疤、麻、血管瘤或白癜风、黑色素痣等。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19.除以上各项外,其它影响教学工作的疾病。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四、体检机构:由各级教师资格管理机构指定的医院负责体检。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五、体检要求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cs="宋体"/>
          <w:kern w:val="0"/>
          <w:sz w:val="28"/>
          <w:lang w:bidi="ar"/>
        </w:rPr>
        <w:t>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4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7.体检工作人员要做好当日检查所需器材、药液和试剂。器械应及时消毒,仪表要每日校正,试剂要保证其浓度,确保检查结果的准确。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 </w:t>
      </w:r>
      <w:r>
        <w:rPr>
          <w:rFonts w:cs="宋体"/>
          <w:kern w:val="0"/>
          <w:sz w:val="28"/>
          <w:lang w:bidi="ar"/>
        </w:rPr>
        <w:t>9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</w:t>
      </w:r>
      <w:r>
        <w:rPr>
          <w:rFonts w:cs="宋体"/>
          <w:kern w:val="0"/>
          <w:sz w:val="28"/>
          <w:lang w:bidi="ar"/>
        </w:rPr>
        <w:t>10.负责体检的医院要紧密配合,提高效率,体检时间一般不超过七个工作日,情况特殊者要及时告知申请人员。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hint="eastAsia" w:cs="宋体"/>
          <w:kern w:val="0"/>
          <w:sz w:val="28"/>
          <w:lang w:bidi="ar"/>
        </w:rPr>
        <w:t xml:space="preserve">   </w:t>
      </w:r>
      <w:r>
        <w:rPr>
          <w:rFonts w:cs="宋体"/>
          <w:kern w:val="0"/>
          <w:sz w:val="28"/>
          <w:lang w:bidi="ar"/>
        </w:rPr>
        <w:t>六、本办法自发文之日起执行,由</w:t>
      </w:r>
      <w:r>
        <w:rPr>
          <w:rFonts w:hint="eastAsia" w:cs="宋体"/>
          <w:kern w:val="0"/>
          <w:sz w:val="28"/>
          <w:lang w:bidi="ar"/>
        </w:rPr>
        <w:t>云南省</w:t>
      </w:r>
      <w:r>
        <w:rPr>
          <w:rFonts w:cs="宋体"/>
          <w:kern w:val="0"/>
          <w:sz w:val="28"/>
          <w:lang w:bidi="ar"/>
        </w:rPr>
        <w:t>教师资格认定机构负责解释。</w:t>
      </w:r>
    </w:p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p>
      <w:pPr>
        <w:numPr>
          <w:numId w:val="0"/>
        </w:numPr>
        <w:ind w:left="600" w:leftChars="0"/>
        <w:rPr>
          <w:rFonts w:hint="eastAsia"/>
          <w:sz w:val="24"/>
          <w:u w:val="single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9F6BF"/>
    <w:multiLevelType w:val="singleLevel"/>
    <w:tmpl w:val="E499F6B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386F4D"/>
    <w:rsid w:val="00065353"/>
    <w:rsid w:val="00095F88"/>
    <w:rsid w:val="000E3699"/>
    <w:rsid w:val="00162B65"/>
    <w:rsid w:val="001A4F63"/>
    <w:rsid w:val="001F7A14"/>
    <w:rsid w:val="0025030C"/>
    <w:rsid w:val="0033348A"/>
    <w:rsid w:val="0046064E"/>
    <w:rsid w:val="004A07F1"/>
    <w:rsid w:val="004B6BCC"/>
    <w:rsid w:val="00534B3D"/>
    <w:rsid w:val="0057368E"/>
    <w:rsid w:val="00596EDB"/>
    <w:rsid w:val="005F2999"/>
    <w:rsid w:val="005F64DE"/>
    <w:rsid w:val="00616A17"/>
    <w:rsid w:val="00642ED1"/>
    <w:rsid w:val="007B48E9"/>
    <w:rsid w:val="00976F1B"/>
    <w:rsid w:val="0099121A"/>
    <w:rsid w:val="00A100AD"/>
    <w:rsid w:val="00A30B74"/>
    <w:rsid w:val="00C35C90"/>
    <w:rsid w:val="00C648AB"/>
    <w:rsid w:val="00DB079C"/>
    <w:rsid w:val="00DC2DC8"/>
    <w:rsid w:val="00DD44FD"/>
    <w:rsid w:val="00E7534D"/>
    <w:rsid w:val="00ED5CCB"/>
    <w:rsid w:val="00F56382"/>
    <w:rsid w:val="05DE4E98"/>
    <w:rsid w:val="06380D40"/>
    <w:rsid w:val="0E4513FF"/>
    <w:rsid w:val="117402D5"/>
    <w:rsid w:val="122029F3"/>
    <w:rsid w:val="192C62E7"/>
    <w:rsid w:val="21491392"/>
    <w:rsid w:val="24FC170C"/>
    <w:rsid w:val="25B9263D"/>
    <w:rsid w:val="2DE013A0"/>
    <w:rsid w:val="32BF011C"/>
    <w:rsid w:val="35386F4D"/>
    <w:rsid w:val="3ED55AA3"/>
    <w:rsid w:val="471D7219"/>
    <w:rsid w:val="48125068"/>
    <w:rsid w:val="4C354F40"/>
    <w:rsid w:val="516F5F47"/>
    <w:rsid w:val="57FB2BEF"/>
    <w:rsid w:val="5C472E8B"/>
    <w:rsid w:val="5F3E5CAB"/>
    <w:rsid w:val="64680159"/>
    <w:rsid w:val="68DB6A80"/>
    <w:rsid w:val="69097EBD"/>
    <w:rsid w:val="6C4053B6"/>
    <w:rsid w:val="6E2F25D4"/>
    <w:rsid w:val="7F3B5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lqst</Company>
  <Pages>2</Pages>
  <Words>101</Words>
  <Characters>582</Characters>
  <Lines>4</Lines>
  <Paragraphs>1</Paragraphs>
  <TotalTime>4</TotalTime>
  <ScaleCrop>false</ScaleCrop>
  <LinksUpToDate>false</LinksUpToDate>
  <CharactersWithSpaces>682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2020-06-19T09:58:00Z</dcterms:created>
  <dc:creator>Administrator</dc:creator>
  <cp:lastModifiedBy>Administrator</cp:lastModifiedBy>
  <cp:lastPrinted>2021-05-11T01:35:00Z</cp:lastPrinted>
  <dcterms:modified xsi:type="dcterms:W3CDTF">2022-09-08T02:14:12Z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