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政治理论测试试题类型和出题范围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一、题目类型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题目类型为单选、多选、填空、判断。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政治理论测试以天津干部在线学习题库为基础，包括党中央最新的理论政策和对政法工作的最新要求。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专业笔试试题类型和出题范围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试题类别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笔试采用一套试题，其中检察实务为任选题，区分刑事，民事、行政、公益诉讼两类，由参加笔试人员自主选择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二、题目类型</w:t>
      </w:r>
    </w:p>
    <w:p>
      <w:pPr>
        <w:keepNext w:val="0"/>
        <w:keepLines w:val="0"/>
        <w:pageBreakBefore w:val="0"/>
        <w:widowControl w:val="0"/>
        <w:tabs>
          <w:tab w:val="left" w:pos="2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题目类型为判断、单选、检察实务。</w:t>
      </w:r>
    </w:p>
    <w:p>
      <w:pPr>
        <w:keepNext w:val="0"/>
        <w:keepLines w:val="0"/>
        <w:pageBreakBefore w:val="0"/>
        <w:widowControl w:val="0"/>
        <w:tabs>
          <w:tab w:val="left" w:pos="2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三、考试范围</w:t>
      </w:r>
    </w:p>
    <w:p>
      <w:pPr>
        <w:keepNext w:val="0"/>
        <w:keepLines w:val="0"/>
        <w:pageBreakBefore w:val="0"/>
        <w:widowControl w:val="0"/>
        <w:tabs>
          <w:tab w:val="left" w:pos="2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（一）法律基础知识</w:t>
      </w:r>
    </w:p>
    <w:p>
      <w:pPr>
        <w:keepNext w:val="0"/>
        <w:keepLines w:val="0"/>
        <w:pageBreakBefore w:val="0"/>
        <w:widowControl w:val="0"/>
        <w:tabs>
          <w:tab w:val="left" w:pos="2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宪法中的国家制度、公民权利义务、国家机构；</w:t>
      </w:r>
      <w:r>
        <w:rPr>
          <w:rFonts w:hint="eastAsia" w:ascii="仿宋_GB2312" w:eastAsia="仿宋_GB2312"/>
          <w:sz w:val="32"/>
          <w:szCs w:val="32"/>
          <w:lang w:eastAsia="zh-CN"/>
        </w:rPr>
        <w:t>刑法、</w:t>
      </w:r>
      <w:r>
        <w:rPr>
          <w:rFonts w:hint="eastAsia" w:ascii="仿宋_GB2312" w:eastAsia="仿宋_GB2312"/>
          <w:sz w:val="32"/>
          <w:szCs w:val="32"/>
        </w:rPr>
        <w:t>民法</w:t>
      </w:r>
      <w:r>
        <w:rPr>
          <w:rFonts w:hint="eastAsia" w:ascii="仿宋_GB2312" w:eastAsia="仿宋_GB2312"/>
          <w:sz w:val="32"/>
          <w:szCs w:val="32"/>
          <w:lang w:eastAsia="zh-CN"/>
        </w:rPr>
        <w:t>、行政法、诉讼法</w:t>
      </w:r>
      <w:r>
        <w:rPr>
          <w:rFonts w:hint="eastAsia" w:ascii="仿宋_GB2312" w:eastAsia="仿宋_GB2312"/>
          <w:sz w:val="32"/>
          <w:szCs w:val="32"/>
        </w:rPr>
        <w:t>基本原则；</w:t>
      </w:r>
      <w:r>
        <w:rPr>
          <w:rFonts w:hint="eastAsia" w:ascii="仿宋_GB2312" w:eastAsia="仿宋_GB2312"/>
          <w:sz w:val="32"/>
          <w:szCs w:val="32"/>
          <w:lang w:eastAsia="zh-CN"/>
        </w:rPr>
        <w:t>检察院组织法、</w:t>
      </w:r>
      <w:r>
        <w:rPr>
          <w:rFonts w:hint="eastAsia" w:ascii="仿宋_GB2312" w:eastAsia="仿宋_GB2312"/>
          <w:sz w:val="32"/>
          <w:szCs w:val="32"/>
        </w:rPr>
        <w:t>检察官法的基本内容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社会主义法治理念，中国检察制度。</w:t>
      </w:r>
    </w:p>
    <w:p>
      <w:pPr>
        <w:keepNext w:val="0"/>
        <w:keepLines w:val="0"/>
        <w:pageBreakBefore w:val="0"/>
        <w:widowControl w:val="0"/>
        <w:tabs>
          <w:tab w:val="left" w:pos="2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（二）法律专业知识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刑法、刑诉法、民法、民诉法、行政法、行政诉讼法、环境资源保护法、消费者权益保护法、食品安全法和相关司法解释。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（三）文书写作知识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审查报告和相关法律文书撰写格式与技能。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7" w:bottom="181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FmjmLYBAABT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XuZ1RkCNpR0HygtjW9hzJmTH8mZSY86uvwlOozi&#10;pPPxoq0aE5P50Wq5WtUUkhSbL4RTPTwPEdM7BY5lo+WRhlc0FYcPmM6pc0qu5uHOWEt+0VjPhpa/&#10;vl5elweXCIFbTzUyiXOz2UrjdpwYbKE7ErGBFqDlnjaUM/vek755V2YjzsZ2NvYhml1flimXx/Bm&#10;n6ib0mSucIadCtPkCs1py/Jq/H0vWQ//wu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BZ&#10;o5i2AQAAUw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3908"/>
    <w:rsid w:val="0D3D3908"/>
    <w:rsid w:val="79D51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2022-09-05T07:03:00Z</dcterms:created>
  <dc:creator>Administrator</dc:creator>
  <cp:lastModifiedBy>Administrator</cp:lastModifiedBy>
  <dcterms:modified xsi:type="dcterms:W3CDTF">2022-09-05T07:05:24Z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