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ascii="宋体" w:hAnsi="宋体" w:cs="宋体"/>
          <w:b/>
          <w:w w:val="85"/>
          <w:kern w:val="0"/>
          <w:sz w:val="44"/>
          <w:szCs w:val="44"/>
          <w:highlight w:val="none"/>
        </w:rPr>
      </w:pPr>
      <w:bookmarkStart w:id="0" w:name="_Toc6286_WPSOffice_Level1"/>
      <w:r>
        <w:rPr>
          <w:rFonts w:hint="eastAsia" w:ascii="宋体" w:hAnsi="宋体" w:cs="宋体"/>
          <w:b/>
          <w:w w:val="85"/>
          <w:kern w:val="0"/>
          <w:sz w:val="44"/>
          <w:szCs w:val="44"/>
          <w:highlight w:val="none"/>
          <w:lang w:eastAsia="zh-CN"/>
        </w:rPr>
        <w:t>2022年9月</w:t>
      </w:r>
      <w:r>
        <w:rPr>
          <w:rFonts w:hint="eastAsia" w:ascii="宋体" w:hAnsi="宋体" w:cs="宋体"/>
          <w:b/>
          <w:w w:val="85"/>
          <w:kern w:val="0"/>
          <w:sz w:val="44"/>
          <w:szCs w:val="44"/>
          <w:highlight w:val="none"/>
        </w:rPr>
        <w:t>厦门市集美区产业投资有限公司</w:t>
      </w:r>
    </w:p>
    <w:p>
      <w:pPr>
        <w:adjustRightInd w:val="0"/>
        <w:snapToGrid w:val="0"/>
        <w:spacing w:line="640" w:lineRule="exact"/>
        <w:jc w:val="center"/>
        <w:rPr>
          <w:rFonts w:hint="eastAsia" w:ascii="宋体" w:hAnsi="宋体" w:cs="宋体" w:eastAsiaTheme="minorEastAsia"/>
          <w:b/>
          <w:w w:val="85"/>
          <w:kern w:val="0"/>
          <w:sz w:val="44"/>
          <w:szCs w:val="44"/>
          <w:highlight w:val="none"/>
          <w:lang w:eastAsia="zh-CN"/>
        </w:rPr>
      </w:pPr>
      <w:r>
        <w:rPr>
          <w:rFonts w:hint="eastAsia" w:ascii="宋体" w:hAnsi="宋体" w:cs="宋体"/>
          <w:b/>
          <w:w w:val="85"/>
          <w:kern w:val="0"/>
          <w:sz w:val="44"/>
          <w:szCs w:val="44"/>
          <w:highlight w:val="none"/>
        </w:rPr>
        <w:t>公开招聘工作人员报考</w:t>
      </w:r>
      <w:r>
        <w:rPr>
          <w:rFonts w:hint="eastAsia" w:ascii="宋体" w:hAnsi="宋体" w:cs="宋体"/>
          <w:b/>
          <w:w w:val="85"/>
          <w:kern w:val="0"/>
          <w:sz w:val="44"/>
          <w:szCs w:val="44"/>
          <w:highlight w:val="none"/>
          <w:lang w:eastAsia="zh-CN"/>
        </w:rPr>
        <w:t>须知</w:t>
      </w:r>
    </w:p>
    <w:p>
      <w:pPr>
        <w:adjustRightInd w:val="0"/>
        <w:snapToGrid w:val="0"/>
        <w:spacing w:before="120" w:beforeLines="50" w:line="640" w:lineRule="exact"/>
        <w:jc w:val="center"/>
        <w:rPr>
          <w:rFonts w:ascii="宋体" w:hAnsi="宋体" w:cs="宋体"/>
          <w:b/>
          <w:w w:val="85"/>
          <w:kern w:val="0"/>
          <w:sz w:val="44"/>
          <w:szCs w:val="44"/>
          <w:highlight w:val="none"/>
        </w:rPr>
      </w:pPr>
      <w:r>
        <w:rPr>
          <w:rFonts w:hint="eastAsia" w:ascii="宋体" w:hAnsi="宋体" w:cs="宋体"/>
          <w:b/>
          <w:w w:val="85"/>
          <w:kern w:val="0"/>
          <w:sz w:val="44"/>
          <w:szCs w:val="44"/>
          <w:highlight w:val="none"/>
        </w:rPr>
        <w:t>目  录</w:t>
      </w:r>
    </w:p>
    <w:p>
      <w:pPr>
        <w:pStyle w:val="10"/>
        <w:tabs>
          <w:tab w:val="right" w:leader="dot" w:pos="8306"/>
        </w:tabs>
        <w:spacing w:line="360" w:lineRule="auto"/>
        <w:rPr>
          <w:rFonts w:ascii="宋体" w:hAnsi="宋体" w:cs="宋体"/>
          <w:b/>
          <w:w w:val="85"/>
          <w:kern w:val="0"/>
          <w:sz w:val="30"/>
          <w:szCs w:val="30"/>
          <w:highlight w:val="none"/>
        </w:rPr>
      </w:pP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ascii="宋体" w:hAnsi="宋体" w:cs="宋体"/>
          <w:b/>
          <w:w w:val="85"/>
          <w:kern w:val="0"/>
          <w:sz w:val="30"/>
          <w:szCs w:val="30"/>
          <w:highlight w:val="none"/>
        </w:rPr>
        <w:fldChar w:fldCharType="begin"/>
      </w:r>
      <w:r>
        <w:rPr>
          <w:rFonts w:hint="eastAsia" w:ascii="宋体" w:hAnsi="宋体" w:cs="宋体"/>
          <w:b/>
          <w:w w:val="85"/>
          <w:kern w:val="0"/>
          <w:sz w:val="30"/>
          <w:szCs w:val="30"/>
          <w:highlight w:val="none"/>
        </w:rPr>
        <w:instrText xml:space="preserve">TOC \o "1-3" \t "" \h \z \u </w:instrText>
      </w:r>
      <w:r>
        <w:rPr>
          <w:rFonts w:hint="eastAsia" w:ascii="宋体" w:hAnsi="宋体" w:cs="宋体"/>
          <w:b/>
          <w:w w:val="85"/>
          <w:kern w:val="0"/>
          <w:sz w:val="30"/>
          <w:szCs w:val="30"/>
          <w:highlight w:val="none"/>
        </w:rPr>
        <w:fldChar w:fldCharType="separate"/>
      </w:r>
      <w:r>
        <w:rPr>
          <w:rFonts w:hint="eastAsia" w:ascii="宋体" w:hAnsi="宋体" w:cs="宋体"/>
          <w:w w:val="85"/>
          <w:kern w:val="0"/>
          <w:sz w:val="30"/>
          <w:szCs w:val="30"/>
          <w:highlight w:val="none"/>
        </w:rPr>
        <w:fldChar w:fldCharType="begin"/>
      </w:r>
      <w:r>
        <w:rPr>
          <w:rFonts w:hint="eastAsia" w:ascii="宋体" w:hAnsi="宋体" w:cs="宋体"/>
          <w:w w:val="85"/>
          <w:kern w:val="0"/>
          <w:sz w:val="30"/>
          <w:szCs w:val="30"/>
          <w:highlight w:val="none"/>
        </w:rPr>
        <w:instrText xml:space="preserve"> HYPERLINK \l _Toc24314 </w:instrText>
      </w:r>
      <w:r>
        <w:rPr>
          <w:rFonts w:hint="eastAsia" w:ascii="宋体" w:hAnsi="宋体" w:cs="宋体"/>
          <w:w w:val="85"/>
          <w:kern w:val="0"/>
          <w:sz w:val="30"/>
          <w:szCs w:val="30"/>
          <w:highlight w:val="none"/>
        </w:rPr>
        <w:fldChar w:fldCharType="separate"/>
      </w:r>
      <w:r>
        <w:rPr>
          <w:rFonts w:hint="eastAsia" w:ascii="黑体" w:hAnsi="黑体" w:eastAsia="黑体"/>
          <w:bCs/>
          <w:sz w:val="30"/>
          <w:szCs w:val="30"/>
        </w:rPr>
        <w:t xml:space="preserve">一、 </w:t>
      </w:r>
      <w:r>
        <w:rPr>
          <w:rFonts w:hint="eastAsia" w:ascii="黑体" w:hAnsi="黑体" w:eastAsia="黑体"/>
          <w:bCs/>
          <w:sz w:val="30"/>
          <w:szCs w:val="30"/>
          <w:highlight w:val="none"/>
        </w:rPr>
        <w:t>基本条件</w:t>
      </w:r>
      <w:r>
        <w:rPr>
          <w:sz w:val="30"/>
          <w:szCs w:val="30"/>
        </w:rPr>
        <w:tab/>
      </w:r>
      <w:r>
        <w:rPr>
          <w:sz w:val="30"/>
          <w:szCs w:val="30"/>
        </w:rPr>
        <w:fldChar w:fldCharType="begin"/>
      </w:r>
      <w:r>
        <w:rPr>
          <w:sz w:val="30"/>
          <w:szCs w:val="30"/>
        </w:rPr>
        <w:instrText xml:space="preserve"> PAGEREF _Toc24314 </w:instrText>
      </w:r>
      <w:r>
        <w:rPr>
          <w:sz w:val="30"/>
          <w:szCs w:val="30"/>
        </w:rPr>
        <w:fldChar w:fldCharType="separate"/>
      </w:r>
      <w:r>
        <w:rPr>
          <w:sz w:val="30"/>
          <w:szCs w:val="30"/>
        </w:rPr>
        <w:t>3</w:t>
      </w:r>
      <w:r>
        <w:rPr>
          <w:sz w:val="30"/>
          <w:szCs w:val="30"/>
        </w:rPr>
        <w:fldChar w:fldCharType="end"/>
      </w:r>
      <w:r>
        <w:rPr>
          <w:rFonts w:hint="eastAsia" w:ascii="宋体" w:hAnsi="宋体" w:cs="宋体"/>
          <w:w w:val="85"/>
          <w:kern w:val="0"/>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_Toc17301 </w:instrText>
      </w:r>
      <w:r>
        <w:rPr>
          <w:rFonts w:hint="eastAsia"/>
          <w:sz w:val="30"/>
          <w:szCs w:val="30"/>
          <w:highlight w:val="none"/>
        </w:rPr>
        <w:fldChar w:fldCharType="separate"/>
      </w:r>
      <w:r>
        <w:rPr>
          <w:rFonts w:hint="eastAsia" w:ascii="黑体" w:hAnsi="黑体" w:eastAsia="黑体"/>
          <w:bCs/>
          <w:sz w:val="30"/>
          <w:szCs w:val="30"/>
        </w:rPr>
        <w:t xml:space="preserve">二、 </w:t>
      </w:r>
      <w:r>
        <w:rPr>
          <w:rFonts w:hint="eastAsia" w:ascii="黑体" w:hAnsi="黑体" w:eastAsia="黑体"/>
          <w:bCs/>
          <w:sz w:val="30"/>
          <w:szCs w:val="30"/>
          <w:highlight w:val="none"/>
        </w:rPr>
        <w:t>不得报考或取消报考（录用）资格的情形</w:t>
      </w:r>
      <w:r>
        <w:rPr>
          <w:sz w:val="30"/>
          <w:szCs w:val="30"/>
        </w:rPr>
        <w:tab/>
      </w:r>
      <w:r>
        <w:rPr>
          <w:sz w:val="30"/>
          <w:szCs w:val="30"/>
        </w:rPr>
        <w:fldChar w:fldCharType="begin"/>
      </w:r>
      <w:r>
        <w:rPr>
          <w:sz w:val="30"/>
          <w:szCs w:val="30"/>
        </w:rPr>
        <w:instrText xml:space="preserve"> PAGEREF _Toc17301 </w:instrText>
      </w:r>
      <w:r>
        <w:rPr>
          <w:sz w:val="30"/>
          <w:szCs w:val="30"/>
        </w:rPr>
        <w:fldChar w:fldCharType="separate"/>
      </w:r>
      <w:r>
        <w:rPr>
          <w:sz w:val="30"/>
          <w:szCs w:val="30"/>
        </w:rPr>
        <w:t>3</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_Toc24335 </w:instrText>
      </w:r>
      <w:r>
        <w:rPr>
          <w:rFonts w:hint="eastAsia"/>
          <w:sz w:val="30"/>
          <w:szCs w:val="30"/>
          <w:highlight w:val="none"/>
        </w:rPr>
        <w:fldChar w:fldCharType="separate"/>
      </w:r>
      <w:r>
        <w:rPr>
          <w:rFonts w:hint="eastAsia" w:ascii="黑体" w:hAnsi="黑体" w:eastAsia="黑体"/>
          <w:bCs/>
          <w:sz w:val="30"/>
          <w:szCs w:val="30"/>
        </w:rPr>
        <w:t xml:space="preserve">三、 </w:t>
      </w:r>
      <w:r>
        <w:rPr>
          <w:rFonts w:hint="eastAsia" w:ascii="黑体" w:hAnsi="黑体" w:eastAsia="黑体"/>
          <w:bCs/>
          <w:sz w:val="30"/>
          <w:szCs w:val="30"/>
          <w:highlight w:val="none"/>
        </w:rPr>
        <w:t>选报岗位须知</w:t>
      </w:r>
      <w:r>
        <w:rPr>
          <w:sz w:val="30"/>
          <w:szCs w:val="30"/>
        </w:rPr>
        <w:tab/>
      </w:r>
      <w:r>
        <w:rPr>
          <w:sz w:val="30"/>
          <w:szCs w:val="30"/>
        </w:rPr>
        <w:fldChar w:fldCharType="begin"/>
      </w:r>
      <w:r>
        <w:rPr>
          <w:sz w:val="30"/>
          <w:szCs w:val="30"/>
        </w:rPr>
        <w:instrText xml:space="preserve"> PAGEREF _Toc24335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_Toc10676 </w:instrText>
      </w:r>
      <w:r>
        <w:rPr>
          <w:rFonts w:hint="eastAsia"/>
          <w:sz w:val="30"/>
          <w:szCs w:val="30"/>
          <w:highlight w:val="none"/>
        </w:rPr>
        <w:fldChar w:fldCharType="separate"/>
      </w:r>
      <w:r>
        <w:rPr>
          <w:rFonts w:hint="eastAsia" w:ascii="楷体" w:hAnsi="楷体" w:eastAsia="楷体"/>
          <w:sz w:val="30"/>
          <w:szCs w:val="30"/>
        </w:rPr>
        <w:t xml:space="preserve">（一） </w:t>
      </w:r>
      <w:r>
        <w:rPr>
          <w:rFonts w:hint="eastAsia" w:ascii="楷体" w:hAnsi="楷体" w:eastAsia="楷体"/>
          <w:sz w:val="30"/>
          <w:szCs w:val="30"/>
          <w:highlight w:val="none"/>
        </w:rPr>
        <w:t>报考资格条件确认</w:t>
      </w:r>
      <w:r>
        <w:rPr>
          <w:sz w:val="30"/>
          <w:szCs w:val="30"/>
        </w:rPr>
        <w:tab/>
      </w:r>
      <w:r>
        <w:rPr>
          <w:sz w:val="30"/>
          <w:szCs w:val="30"/>
        </w:rPr>
        <w:fldChar w:fldCharType="begin"/>
      </w:r>
      <w:r>
        <w:rPr>
          <w:sz w:val="30"/>
          <w:szCs w:val="30"/>
        </w:rPr>
        <w:instrText xml:space="preserve"> PAGEREF _Toc10676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_Toc18362 </w:instrText>
      </w:r>
      <w:r>
        <w:rPr>
          <w:rFonts w:hint="eastAsia"/>
          <w:sz w:val="30"/>
          <w:szCs w:val="30"/>
          <w:highlight w:val="none"/>
        </w:rPr>
        <w:fldChar w:fldCharType="separate"/>
      </w:r>
      <w:r>
        <w:rPr>
          <w:rFonts w:hint="eastAsia" w:ascii="楷体" w:hAnsi="楷体" w:eastAsia="楷体"/>
          <w:sz w:val="30"/>
          <w:szCs w:val="30"/>
        </w:rPr>
        <w:t xml:space="preserve">（二） </w:t>
      </w:r>
      <w:r>
        <w:rPr>
          <w:rFonts w:hint="eastAsia" w:ascii="楷体" w:hAnsi="楷体" w:eastAsia="楷体"/>
          <w:sz w:val="30"/>
          <w:szCs w:val="30"/>
          <w:highlight w:val="none"/>
          <w:lang w:val="en-US" w:eastAsia="zh-CN"/>
        </w:rPr>
        <w:t>面向2022</w:t>
      </w:r>
      <w:r>
        <w:rPr>
          <w:rFonts w:hint="eastAsia" w:ascii="楷体" w:hAnsi="楷体" w:eastAsia="楷体"/>
          <w:sz w:val="30"/>
          <w:szCs w:val="30"/>
          <w:highlight w:val="none"/>
        </w:rPr>
        <w:t>届毕业生</w:t>
      </w:r>
      <w:r>
        <w:rPr>
          <w:rFonts w:hint="eastAsia" w:ascii="楷体" w:hAnsi="楷体" w:eastAsia="楷体"/>
          <w:sz w:val="30"/>
          <w:szCs w:val="30"/>
          <w:highlight w:val="none"/>
          <w:lang w:eastAsia="zh-CN"/>
        </w:rPr>
        <w:t>专项岗位</w:t>
      </w:r>
      <w:r>
        <w:rPr>
          <w:sz w:val="30"/>
          <w:szCs w:val="30"/>
        </w:rPr>
        <w:tab/>
      </w:r>
      <w:r>
        <w:rPr>
          <w:sz w:val="30"/>
          <w:szCs w:val="30"/>
        </w:rPr>
        <w:fldChar w:fldCharType="begin"/>
      </w:r>
      <w:r>
        <w:rPr>
          <w:sz w:val="30"/>
          <w:szCs w:val="30"/>
        </w:rPr>
        <w:instrText xml:space="preserve"> PAGEREF _Toc18362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_Toc13366 </w:instrText>
      </w:r>
      <w:r>
        <w:rPr>
          <w:rFonts w:hint="eastAsia"/>
          <w:sz w:val="30"/>
          <w:szCs w:val="30"/>
          <w:highlight w:val="none"/>
        </w:rPr>
        <w:fldChar w:fldCharType="separate"/>
      </w:r>
      <w:r>
        <w:rPr>
          <w:rFonts w:hint="eastAsia" w:ascii="楷体" w:hAnsi="楷体" w:eastAsia="楷体"/>
          <w:sz w:val="30"/>
          <w:szCs w:val="30"/>
        </w:rPr>
        <w:t xml:space="preserve">（三） </w:t>
      </w:r>
      <w:r>
        <w:rPr>
          <w:rFonts w:hint="eastAsia" w:ascii="楷体" w:hAnsi="楷体" w:eastAsia="楷体"/>
          <w:sz w:val="30"/>
          <w:szCs w:val="30"/>
          <w:highlight w:val="none"/>
        </w:rPr>
        <w:t>简历填写</w:t>
      </w:r>
      <w:r>
        <w:rPr>
          <w:sz w:val="30"/>
          <w:szCs w:val="30"/>
        </w:rPr>
        <w:tab/>
      </w:r>
      <w:r>
        <w:rPr>
          <w:sz w:val="30"/>
          <w:szCs w:val="30"/>
        </w:rPr>
        <w:fldChar w:fldCharType="begin"/>
      </w:r>
      <w:r>
        <w:rPr>
          <w:sz w:val="30"/>
          <w:szCs w:val="30"/>
        </w:rPr>
        <w:instrText xml:space="preserve"> PAGEREF _Toc13366 </w:instrText>
      </w:r>
      <w:r>
        <w:rPr>
          <w:sz w:val="30"/>
          <w:szCs w:val="30"/>
        </w:rPr>
        <w:fldChar w:fldCharType="separate"/>
      </w:r>
      <w:r>
        <w:rPr>
          <w:sz w:val="30"/>
          <w:szCs w:val="30"/>
        </w:rPr>
        <w:t>5</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_Toc6595 </w:instrText>
      </w:r>
      <w:r>
        <w:rPr>
          <w:rFonts w:hint="eastAsia"/>
          <w:sz w:val="30"/>
          <w:szCs w:val="30"/>
          <w:highlight w:val="none"/>
        </w:rPr>
        <w:fldChar w:fldCharType="separate"/>
      </w:r>
      <w:r>
        <w:rPr>
          <w:rFonts w:hint="eastAsia" w:ascii="楷体" w:hAnsi="楷体" w:eastAsia="楷体"/>
          <w:sz w:val="30"/>
          <w:szCs w:val="30"/>
        </w:rPr>
        <w:t xml:space="preserve">（四） </w:t>
      </w:r>
      <w:r>
        <w:rPr>
          <w:rFonts w:hint="eastAsia" w:ascii="楷体" w:hAnsi="楷体" w:eastAsia="楷体"/>
          <w:sz w:val="30"/>
          <w:szCs w:val="30"/>
          <w:highlight w:val="none"/>
        </w:rPr>
        <w:t>回避情形</w:t>
      </w:r>
      <w:r>
        <w:rPr>
          <w:sz w:val="30"/>
          <w:szCs w:val="30"/>
        </w:rPr>
        <w:tab/>
      </w:r>
      <w:r>
        <w:rPr>
          <w:sz w:val="30"/>
          <w:szCs w:val="30"/>
        </w:rPr>
        <w:fldChar w:fldCharType="begin"/>
      </w:r>
      <w:r>
        <w:rPr>
          <w:sz w:val="30"/>
          <w:szCs w:val="30"/>
        </w:rPr>
        <w:instrText xml:space="preserve"> PAGEREF _Toc6595 </w:instrText>
      </w:r>
      <w:r>
        <w:rPr>
          <w:sz w:val="30"/>
          <w:szCs w:val="30"/>
        </w:rPr>
        <w:fldChar w:fldCharType="separate"/>
      </w:r>
      <w:r>
        <w:rPr>
          <w:sz w:val="30"/>
          <w:szCs w:val="30"/>
        </w:rPr>
        <w:t>5</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_Toc11277 </w:instrText>
      </w:r>
      <w:r>
        <w:rPr>
          <w:rFonts w:hint="eastAsia"/>
          <w:sz w:val="30"/>
          <w:szCs w:val="30"/>
          <w:highlight w:val="none"/>
        </w:rPr>
        <w:fldChar w:fldCharType="separate"/>
      </w:r>
      <w:r>
        <w:rPr>
          <w:rFonts w:hint="eastAsia" w:ascii="黑体" w:hAnsi="黑体" w:eastAsia="黑体"/>
          <w:bCs/>
          <w:sz w:val="30"/>
          <w:szCs w:val="30"/>
        </w:rPr>
        <w:t xml:space="preserve">四、 </w:t>
      </w:r>
      <w:r>
        <w:rPr>
          <w:rFonts w:hint="eastAsia" w:ascii="黑体" w:hAnsi="黑体" w:eastAsia="黑体"/>
          <w:bCs/>
          <w:sz w:val="30"/>
          <w:szCs w:val="30"/>
          <w:highlight w:val="none"/>
        </w:rPr>
        <w:t>年龄、资格（历）等的计算办法</w:t>
      </w:r>
      <w:r>
        <w:rPr>
          <w:sz w:val="30"/>
          <w:szCs w:val="30"/>
        </w:rPr>
        <w:tab/>
      </w:r>
      <w:r>
        <w:rPr>
          <w:sz w:val="30"/>
          <w:szCs w:val="30"/>
        </w:rPr>
        <w:fldChar w:fldCharType="begin"/>
      </w:r>
      <w:r>
        <w:rPr>
          <w:sz w:val="30"/>
          <w:szCs w:val="30"/>
        </w:rPr>
        <w:instrText xml:space="preserve"> PAGEREF _Toc11277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_Toc8337 </w:instrText>
      </w:r>
      <w:r>
        <w:rPr>
          <w:rFonts w:hint="eastAsia"/>
          <w:sz w:val="30"/>
          <w:szCs w:val="30"/>
          <w:highlight w:val="none"/>
        </w:rPr>
        <w:fldChar w:fldCharType="separate"/>
      </w:r>
      <w:r>
        <w:rPr>
          <w:rFonts w:hint="eastAsia" w:ascii="黑体" w:hAnsi="黑体" w:eastAsia="黑体"/>
          <w:bCs/>
          <w:sz w:val="30"/>
          <w:szCs w:val="30"/>
        </w:rPr>
        <w:t xml:space="preserve">五、 </w:t>
      </w:r>
      <w:r>
        <w:rPr>
          <w:rFonts w:hint="eastAsia" w:ascii="黑体" w:hAnsi="黑体" w:eastAsia="黑体"/>
          <w:bCs/>
          <w:sz w:val="30"/>
          <w:szCs w:val="30"/>
          <w:highlight w:val="none"/>
        </w:rPr>
        <w:t>学历（位）认定</w:t>
      </w:r>
      <w:r>
        <w:rPr>
          <w:sz w:val="30"/>
          <w:szCs w:val="30"/>
        </w:rPr>
        <w:tab/>
      </w:r>
      <w:r>
        <w:rPr>
          <w:sz w:val="30"/>
          <w:szCs w:val="30"/>
        </w:rPr>
        <w:fldChar w:fldCharType="begin"/>
      </w:r>
      <w:r>
        <w:rPr>
          <w:sz w:val="30"/>
          <w:szCs w:val="30"/>
        </w:rPr>
        <w:instrText xml:space="preserve"> PAGEREF _Toc8337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_Toc9293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（一） </w:t>
      </w:r>
      <w:r>
        <w:rPr>
          <w:rFonts w:hint="eastAsia" w:ascii="楷体" w:hAnsi="楷体" w:eastAsia="楷体" w:cs="楷体"/>
          <w:bCs/>
          <w:sz w:val="30"/>
          <w:szCs w:val="30"/>
          <w:highlight w:val="none"/>
        </w:rPr>
        <w:t>境内学历</w:t>
      </w:r>
      <w:r>
        <w:rPr>
          <w:rFonts w:hint="eastAsia" w:ascii="楷体" w:hAnsi="楷体" w:eastAsia="楷体" w:cs="楷体"/>
          <w:bCs/>
          <w:sz w:val="30"/>
          <w:szCs w:val="30"/>
          <w:highlight w:val="none"/>
          <w:lang w:eastAsia="zh-CN"/>
        </w:rPr>
        <w:t>（位）</w:t>
      </w:r>
      <w:r>
        <w:rPr>
          <w:sz w:val="30"/>
          <w:szCs w:val="30"/>
        </w:rPr>
        <w:tab/>
      </w:r>
      <w:r>
        <w:rPr>
          <w:sz w:val="30"/>
          <w:szCs w:val="30"/>
        </w:rPr>
        <w:fldChar w:fldCharType="begin"/>
      </w:r>
      <w:r>
        <w:rPr>
          <w:sz w:val="30"/>
          <w:szCs w:val="30"/>
        </w:rPr>
        <w:instrText xml:space="preserve"> PAGEREF _Toc9293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_Toc2796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（二） </w:t>
      </w:r>
      <w:r>
        <w:rPr>
          <w:rFonts w:hint="eastAsia" w:ascii="楷体" w:hAnsi="楷体" w:eastAsia="楷体" w:cs="楷体"/>
          <w:bCs/>
          <w:sz w:val="30"/>
          <w:szCs w:val="30"/>
          <w:highlight w:val="none"/>
        </w:rPr>
        <w:t>第二学士学位</w:t>
      </w:r>
      <w:r>
        <w:rPr>
          <w:sz w:val="30"/>
          <w:szCs w:val="30"/>
        </w:rPr>
        <w:tab/>
      </w:r>
      <w:r>
        <w:rPr>
          <w:sz w:val="30"/>
          <w:szCs w:val="30"/>
        </w:rPr>
        <w:fldChar w:fldCharType="begin"/>
      </w:r>
      <w:r>
        <w:rPr>
          <w:sz w:val="30"/>
          <w:szCs w:val="30"/>
        </w:rPr>
        <w:instrText xml:space="preserve"> PAGEREF _Toc2796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_Toc134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（三） </w:t>
      </w:r>
      <w:r>
        <w:rPr>
          <w:rFonts w:hint="eastAsia" w:ascii="楷体" w:hAnsi="楷体" w:eastAsia="楷体" w:cs="楷体"/>
          <w:bCs/>
          <w:sz w:val="30"/>
          <w:szCs w:val="30"/>
          <w:highlight w:val="none"/>
          <w:lang w:eastAsia="zh-CN"/>
        </w:rPr>
        <w:t>国（境）外</w:t>
      </w:r>
      <w:r>
        <w:rPr>
          <w:rFonts w:hint="eastAsia" w:ascii="楷体" w:hAnsi="楷体" w:eastAsia="楷体" w:cs="楷体"/>
          <w:bCs/>
          <w:sz w:val="30"/>
          <w:szCs w:val="30"/>
          <w:highlight w:val="none"/>
        </w:rPr>
        <w:t>学历</w:t>
      </w:r>
      <w:r>
        <w:rPr>
          <w:rFonts w:hint="eastAsia" w:ascii="楷体" w:hAnsi="楷体" w:eastAsia="楷体" w:cs="楷体"/>
          <w:bCs/>
          <w:sz w:val="30"/>
          <w:szCs w:val="30"/>
          <w:highlight w:val="none"/>
          <w:lang w:eastAsia="zh-CN"/>
        </w:rPr>
        <w:t>（位）</w:t>
      </w:r>
      <w:r>
        <w:rPr>
          <w:sz w:val="30"/>
          <w:szCs w:val="30"/>
        </w:rPr>
        <w:tab/>
      </w:r>
      <w:r>
        <w:rPr>
          <w:sz w:val="30"/>
          <w:szCs w:val="30"/>
        </w:rPr>
        <w:fldChar w:fldCharType="begin"/>
      </w:r>
      <w:r>
        <w:rPr>
          <w:sz w:val="30"/>
          <w:szCs w:val="30"/>
        </w:rPr>
        <w:instrText xml:space="preserve"> PAGEREF _Toc134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_Toc26243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（四） </w:t>
      </w:r>
      <w:r>
        <w:rPr>
          <w:rFonts w:hint="eastAsia" w:ascii="楷体" w:hAnsi="楷体" w:eastAsia="楷体" w:cs="楷体"/>
          <w:bCs/>
          <w:sz w:val="30"/>
          <w:szCs w:val="30"/>
          <w:highlight w:val="none"/>
          <w:lang w:eastAsia="zh-CN"/>
        </w:rPr>
        <w:t>我省“双学位”“双专业”学历</w:t>
      </w:r>
      <w:r>
        <w:rPr>
          <w:sz w:val="30"/>
          <w:szCs w:val="30"/>
        </w:rPr>
        <w:tab/>
      </w:r>
      <w:r>
        <w:rPr>
          <w:sz w:val="30"/>
          <w:szCs w:val="30"/>
        </w:rPr>
        <w:fldChar w:fldCharType="begin"/>
      </w:r>
      <w:r>
        <w:rPr>
          <w:sz w:val="30"/>
          <w:szCs w:val="30"/>
        </w:rPr>
        <w:instrText xml:space="preserve"> PAGEREF _Toc26243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_Toc22173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（五） </w:t>
      </w:r>
      <w:r>
        <w:rPr>
          <w:rFonts w:hint="eastAsia" w:ascii="楷体" w:hAnsi="楷体" w:eastAsia="楷体"/>
          <w:sz w:val="30"/>
          <w:szCs w:val="30"/>
          <w:highlight w:val="none"/>
        </w:rPr>
        <w:t>提醒事项</w:t>
      </w:r>
      <w:r>
        <w:rPr>
          <w:sz w:val="30"/>
          <w:szCs w:val="30"/>
        </w:rPr>
        <w:tab/>
      </w:r>
      <w:r>
        <w:rPr>
          <w:sz w:val="30"/>
          <w:szCs w:val="30"/>
        </w:rPr>
        <w:fldChar w:fldCharType="begin"/>
      </w:r>
      <w:r>
        <w:rPr>
          <w:sz w:val="30"/>
          <w:szCs w:val="30"/>
        </w:rPr>
        <w:instrText xml:space="preserve"> PAGEREF _Toc22173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_Toc31953 </w:instrText>
      </w:r>
      <w:r>
        <w:rPr>
          <w:rFonts w:hint="eastAsia"/>
          <w:sz w:val="30"/>
          <w:szCs w:val="30"/>
          <w:highlight w:val="none"/>
        </w:rPr>
        <w:fldChar w:fldCharType="separate"/>
      </w:r>
      <w:r>
        <w:rPr>
          <w:rFonts w:hint="eastAsia" w:ascii="黑体" w:hAnsi="黑体" w:eastAsia="黑体"/>
          <w:bCs/>
          <w:sz w:val="30"/>
          <w:szCs w:val="30"/>
        </w:rPr>
        <w:t xml:space="preserve">六、 </w:t>
      </w:r>
      <w:r>
        <w:rPr>
          <w:rFonts w:hint="eastAsia" w:ascii="黑体" w:hAnsi="黑体" w:eastAsia="黑体"/>
          <w:bCs/>
          <w:sz w:val="30"/>
          <w:szCs w:val="30"/>
          <w:highlight w:val="none"/>
        </w:rPr>
        <w:t>专业</w:t>
      </w:r>
      <w:r>
        <w:rPr>
          <w:sz w:val="30"/>
          <w:szCs w:val="30"/>
        </w:rPr>
        <w:tab/>
      </w:r>
      <w:r>
        <w:rPr>
          <w:sz w:val="30"/>
          <w:szCs w:val="30"/>
        </w:rPr>
        <w:fldChar w:fldCharType="begin"/>
      </w:r>
      <w:r>
        <w:rPr>
          <w:sz w:val="30"/>
          <w:szCs w:val="30"/>
        </w:rPr>
        <w:instrText xml:space="preserve"> PAGEREF _Toc31953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_Toc20639 </w:instrText>
      </w:r>
      <w:r>
        <w:rPr>
          <w:rFonts w:hint="eastAsia"/>
          <w:sz w:val="30"/>
          <w:szCs w:val="30"/>
          <w:highlight w:val="none"/>
        </w:rPr>
        <w:fldChar w:fldCharType="separate"/>
      </w:r>
      <w:r>
        <w:rPr>
          <w:rFonts w:hint="eastAsia" w:ascii="楷体" w:hAnsi="楷体" w:eastAsia="楷体"/>
          <w:sz w:val="30"/>
          <w:szCs w:val="30"/>
          <w:highlight w:val="none"/>
        </w:rPr>
        <w:t>（一）填报专业名称</w:t>
      </w:r>
      <w:r>
        <w:rPr>
          <w:sz w:val="30"/>
          <w:szCs w:val="30"/>
        </w:rPr>
        <w:tab/>
      </w:r>
      <w:r>
        <w:rPr>
          <w:sz w:val="30"/>
          <w:szCs w:val="30"/>
        </w:rPr>
        <w:fldChar w:fldCharType="begin"/>
      </w:r>
      <w:r>
        <w:rPr>
          <w:sz w:val="30"/>
          <w:szCs w:val="30"/>
        </w:rPr>
        <w:instrText xml:space="preserve"> PAGEREF _Toc20639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_Toc17444 </w:instrText>
      </w:r>
      <w:r>
        <w:rPr>
          <w:rFonts w:hint="eastAsia"/>
          <w:sz w:val="30"/>
          <w:szCs w:val="30"/>
          <w:highlight w:val="none"/>
        </w:rPr>
        <w:fldChar w:fldCharType="separate"/>
      </w:r>
      <w:r>
        <w:rPr>
          <w:rFonts w:hint="eastAsia" w:ascii="楷体" w:hAnsi="楷体" w:eastAsia="楷体"/>
          <w:sz w:val="30"/>
          <w:szCs w:val="30"/>
          <w:highlight w:val="none"/>
        </w:rPr>
        <w:t>（二）专业与学历（位）的对应关系</w:t>
      </w:r>
      <w:r>
        <w:rPr>
          <w:sz w:val="30"/>
          <w:szCs w:val="30"/>
        </w:rPr>
        <w:tab/>
      </w:r>
      <w:r>
        <w:rPr>
          <w:sz w:val="30"/>
          <w:szCs w:val="30"/>
        </w:rPr>
        <w:fldChar w:fldCharType="begin"/>
      </w:r>
      <w:r>
        <w:rPr>
          <w:sz w:val="30"/>
          <w:szCs w:val="30"/>
        </w:rPr>
        <w:instrText xml:space="preserve"> PAGEREF _Toc17444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_Toc5687 </w:instrText>
      </w:r>
      <w:r>
        <w:rPr>
          <w:rFonts w:hint="eastAsia"/>
          <w:sz w:val="30"/>
          <w:szCs w:val="30"/>
          <w:highlight w:val="none"/>
        </w:rPr>
        <w:fldChar w:fldCharType="separate"/>
      </w:r>
      <w:r>
        <w:rPr>
          <w:rFonts w:hint="eastAsia" w:ascii="楷体" w:hAnsi="楷体" w:eastAsia="楷体"/>
          <w:sz w:val="30"/>
          <w:szCs w:val="30"/>
          <w:highlight w:val="none"/>
        </w:rPr>
        <w:t>（三）专业资格的认定</w:t>
      </w:r>
      <w:r>
        <w:rPr>
          <w:sz w:val="30"/>
          <w:szCs w:val="30"/>
        </w:rPr>
        <w:tab/>
      </w:r>
      <w:r>
        <w:rPr>
          <w:sz w:val="30"/>
          <w:szCs w:val="30"/>
        </w:rPr>
        <w:fldChar w:fldCharType="begin"/>
      </w:r>
      <w:r>
        <w:rPr>
          <w:sz w:val="30"/>
          <w:szCs w:val="30"/>
        </w:rPr>
        <w:instrText xml:space="preserve"> PAGEREF _Toc5687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_Toc28105 </w:instrText>
      </w:r>
      <w:r>
        <w:rPr>
          <w:rFonts w:hint="eastAsia"/>
          <w:sz w:val="30"/>
          <w:szCs w:val="30"/>
          <w:highlight w:val="none"/>
        </w:rPr>
        <w:fldChar w:fldCharType="separate"/>
      </w:r>
      <w:r>
        <w:rPr>
          <w:rFonts w:hint="eastAsia" w:ascii="黑体" w:hAnsi="黑体" w:eastAsia="黑体"/>
          <w:bCs/>
          <w:sz w:val="30"/>
          <w:szCs w:val="30"/>
        </w:rPr>
        <w:t xml:space="preserve">七、 </w:t>
      </w:r>
      <w:r>
        <w:rPr>
          <w:rFonts w:hint="eastAsia" w:ascii="黑体" w:hAnsi="黑体" w:eastAsia="黑体"/>
          <w:bCs/>
          <w:sz w:val="30"/>
          <w:szCs w:val="30"/>
          <w:highlight w:val="none"/>
        </w:rPr>
        <w:t>开考比例</w:t>
      </w:r>
      <w:r>
        <w:rPr>
          <w:sz w:val="30"/>
          <w:szCs w:val="30"/>
        </w:rPr>
        <w:tab/>
      </w:r>
      <w:r>
        <w:rPr>
          <w:sz w:val="30"/>
          <w:szCs w:val="30"/>
        </w:rPr>
        <w:fldChar w:fldCharType="begin"/>
      </w:r>
      <w:r>
        <w:rPr>
          <w:sz w:val="30"/>
          <w:szCs w:val="30"/>
        </w:rPr>
        <w:instrText xml:space="preserve"> PAGEREF _Toc28105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_Toc17055 </w:instrText>
      </w:r>
      <w:r>
        <w:rPr>
          <w:rFonts w:hint="eastAsia"/>
          <w:sz w:val="30"/>
          <w:szCs w:val="30"/>
          <w:highlight w:val="none"/>
        </w:rPr>
        <w:fldChar w:fldCharType="separate"/>
      </w:r>
      <w:r>
        <w:rPr>
          <w:rFonts w:hint="eastAsia" w:ascii="黑体" w:hAnsi="黑体" w:eastAsia="黑体"/>
          <w:bCs/>
          <w:sz w:val="30"/>
          <w:szCs w:val="30"/>
        </w:rPr>
        <w:t xml:space="preserve">八、 </w:t>
      </w:r>
      <w:r>
        <w:rPr>
          <w:rFonts w:hint="eastAsia" w:ascii="黑体" w:hAnsi="黑体" w:eastAsia="黑体"/>
          <w:bCs/>
          <w:sz w:val="30"/>
          <w:szCs w:val="30"/>
          <w:highlight w:val="none"/>
        </w:rPr>
        <w:t>综合成绩计算</w:t>
      </w:r>
      <w:r>
        <w:rPr>
          <w:sz w:val="30"/>
          <w:szCs w:val="30"/>
        </w:rPr>
        <w:tab/>
      </w:r>
      <w:r>
        <w:rPr>
          <w:sz w:val="30"/>
          <w:szCs w:val="30"/>
        </w:rPr>
        <w:fldChar w:fldCharType="begin"/>
      </w:r>
      <w:r>
        <w:rPr>
          <w:sz w:val="30"/>
          <w:szCs w:val="30"/>
        </w:rPr>
        <w:instrText xml:space="preserve"> PAGEREF _Toc17055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_Toc8877 </w:instrText>
      </w:r>
      <w:r>
        <w:rPr>
          <w:rFonts w:hint="eastAsia"/>
          <w:sz w:val="30"/>
          <w:szCs w:val="30"/>
          <w:highlight w:val="none"/>
        </w:rPr>
        <w:fldChar w:fldCharType="separate"/>
      </w:r>
      <w:r>
        <w:rPr>
          <w:rFonts w:hint="eastAsia" w:ascii="黑体" w:hAnsi="黑体" w:eastAsia="黑体"/>
          <w:bCs/>
          <w:sz w:val="30"/>
          <w:szCs w:val="30"/>
        </w:rPr>
        <w:t xml:space="preserve">九、 </w:t>
      </w:r>
      <w:r>
        <w:rPr>
          <w:rFonts w:hint="eastAsia" w:ascii="黑体" w:hAnsi="黑体" w:eastAsia="黑体"/>
          <w:bCs/>
          <w:sz w:val="30"/>
          <w:szCs w:val="30"/>
          <w:highlight w:val="none"/>
        </w:rPr>
        <w:t>体检和考察</w:t>
      </w:r>
      <w:r>
        <w:rPr>
          <w:sz w:val="30"/>
          <w:szCs w:val="30"/>
        </w:rPr>
        <w:tab/>
      </w:r>
      <w:r>
        <w:rPr>
          <w:sz w:val="30"/>
          <w:szCs w:val="30"/>
        </w:rPr>
        <w:fldChar w:fldCharType="begin"/>
      </w:r>
      <w:r>
        <w:rPr>
          <w:sz w:val="30"/>
          <w:szCs w:val="30"/>
        </w:rPr>
        <w:instrText xml:space="preserve"> PAGEREF _Toc8877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_Toc21315 </w:instrText>
      </w:r>
      <w:r>
        <w:rPr>
          <w:rFonts w:hint="eastAsia"/>
          <w:sz w:val="30"/>
          <w:szCs w:val="30"/>
          <w:highlight w:val="none"/>
        </w:rPr>
        <w:fldChar w:fldCharType="separate"/>
      </w:r>
      <w:r>
        <w:rPr>
          <w:rFonts w:hint="eastAsia" w:ascii="楷体" w:hAnsi="楷体" w:eastAsia="楷体"/>
          <w:sz w:val="30"/>
          <w:szCs w:val="30"/>
          <w:highlight w:val="none"/>
        </w:rPr>
        <w:t>（一）确定体检和考察人选</w:t>
      </w:r>
      <w:r>
        <w:rPr>
          <w:sz w:val="30"/>
          <w:szCs w:val="30"/>
        </w:rPr>
        <w:tab/>
      </w:r>
      <w:r>
        <w:rPr>
          <w:sz w:val="30"/>
          <w:szCs w:val="30"/>
        </w:rPr>
        <w:fldChar w:fldCharType="begin"/>
      </w:r>
      <w:r>
        <w:rPr>
          <w:sz w:val="30"/>
          <w:szCs w:val="30"/>
        </w:rPr>
        <w:instrText xml:space="preserve"> PAGEREF _Toc21315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_Toc18930 </w:instrText>
      </w:r>
      <w:r>
        <w:rPr>
          <w:rFonts w:hint="eastAsia"/>
          <w:sz w:val="30"/>
          <w:szCs w:val="30"/>
          <w:highlight w:val="none"/>
        </w:rPr>
        <w:fldChar w:fldCharType="separate"/>
      </w:r>
      <w:r>
        <w:rPr>
          <w:rFonts w:hint="eastAsia" w:ascii="楷体" w:hAnsi="楷体" w:eastAsia="楷体"/>
          <w:sz w:val="30"/>
          <w:szCs w:val="30"/>
          <w:highlight w:val="none"/>
        </w:rPr>
        <w:t>（二）组织体检和考察</w:t>
      </w:r>
      <w:r>
        <w:rPr>
          <w:sz w:val="30"/>
          <w:szCs w:val="30"/>
        </w:rPr>
        <w:tab/>
      </w:r>
      <w:r>
        <w:rPr>
          <w:sz w:val="30"/>
          <w:szCs w:val="30"/>
        </w:rPr>
        <w:fldChar w:fldCharType="begin"/>
      </w:r>
      <w:r>
        <w:rPr>
          <w:sz w:val="30"/>
          <w:szCs w:val="30"/>
        </w:rPr>
        <w:instrText xml:space="preserve"> PAGEREF _Toc18930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_Toc7291 </w:instrText>
      </w:r>
      <w:r>
        <w:rPr>
          <w:rFonts w:hint="eastAsia"/>
          <w:sz w:val="30"/>
          <w:szCs w:val="30"/>
          <w:highlight w:val="none"/>
        </w:rPr>
        <w:fldChar w:fldCharType="separate"/>
      </w:r>
      <w:r>
        <w:rPr>
          <w:rFonts w:hint="eastAsia" w:ascii="楷体" w:hAnsi="楷体" w:eastAsia="楷体"/>
          <w:sz w:val="30"/>
          <w:szCs w:val="30"/>
          <w:highlight w:val="none"/>
        </w:rPr>
        <w:t>（三）体检依据</w:t>
      </w:r>
      <w:r>
        <w:rPr>
          <w:sz w:val="30"/>
          <w:szCs w:val="30"/>
        </w:rPr>
        <w:tab/>
      </w:r>
      <w:r>
        <w:rPr>
          <w:sz w:val="30"/>
          <w:szCs w:val="30"/>
        </w:rPr>
        <w:fldChar w:fldCharType="begin"/>
      </w:r>
      <w:r>
        <w:rPr>
          <w:sz w:val="30"/>
          <w:szCs w:val="30"/>
        </w:rPr>
        <w:instrText xml:space="preserve"> PAGEREF _Toc7291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_Toc20814 </w:instrText>
      </w:r>
      <w:r>
        <w:rPr>
          <w:rFonts w:hint="eastAsia"/>
          <w:sz w:val="30"/>
          <w:szCs w:val="30"/>
          <w:highlight w:val="none"/>
        </w:rPr>
        <w:fldChar w:fldCharType="separate"/>
      </w:r>
      <w:r>
        <w:rPr>
          <w:rFonts w:hint="eastAsia" w:ascii="楷体" w:hAnsi="楷体" w:eastAsia="楷体"/>
          <w:sz w:val="30"/>
          <w:szCs w:val="30"/>
          <w:highlight w:val="none"/>
        </w:rPr>
        <w:t>（四）体检复检</w:t>
      </w:r>
      <w:r>
        <w:rPr>
          <w:sz w:val="30"/>
          <w:szCs w:val="30"/>
        </w:rPr>
        <w:tab/>
      </w:r>
      <w:r>
        <w:rPr>
          <w:sz w:val="30"/>
          <w:szCs w:val="30"/>
        </w:rPr>
        <w:fldChar w:fldCharType="begin"/>
      </w:r>
      <w:r>
        <w:rPr>
          <w:sz w:val="30"/>
          <w:szCs w:val="30"/>
        </w:rPr>
        <w:instrText xml:space="preserve"> PAGEREF _Toc20814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_Toc31997 </w:instrText>
      </w:r>
      <w:r>
        <w:rPr>
          <w:rFonts w:hint="eastAsia"/>
          <w:sz w:val="30"/>
          <w:szCs w:val="30"/>
          <w:highlight w:val="none"/>
        </w:rPr>
        <w:fldChar w:fldCharType="separate"/>
      </w:r>
      <w:r>
        <w:rPr>
          <w:rFonts w:hint="eastAsia" w:ascii="楷体" w:hAnsi="楷体" w:eastAsia="楷体"/>
          <w:sz w:val="30"/>
          <w:szCs w:val="30"/>
          <w:highlight w:val="none"/>
        </w:rPr>
        <w:t>（五）可延迟体检的情形</w:t>
      </w:r>
      <w:r>
        <w:rPr>
          <w:sz w:val="30"/>
          <w:szCs w:val="30"/>
        </w:rPr>
        <w:tab/>
      </w:r>
      <w:r>
        <w:rPr>
          <w:sz w:val="30"/>
          <w:szCs w:val="30"/>
        </w:rPr>
        <w:fldChar w:fldCharType="begin"/>
      </w:r>
      <w:r>
        <w:rPr>
          <w:sz w:val="30"/>
          <w:szCs w:val="30"/>
        </w:rPr>
        <w:instrText xml:space="preserve"> PAGEREF _Toc31997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_Toc27942 </w:instrText>
      </w:r>
      <w:r>
        <w:rPr>
          <w:rFonts w:hint="eastAsia"/>
          <w:sz w:val="30"/>
          <w:szCs w:val="30"/>
          <w:highlight w:val="none"/>
        </w:rPr>
        <w:fldChar w:fldCharType="separate"/>
      </w:r>
      <w:r>
        <w:rPr>
          <w:rFonts w:hint="eastAsia" w:ascii="楷体" w:hAnsi="楷体" w:eastAsia="楷体"/>
          <w:sz w:val="30"/>
          <w:szCs w:val="30"/>
          <w:highlight w:val="none"/>
        </w:rPr>
        <w:t>（六）考察</w:t>
      </w:r>
      <w:r>
        <w:rPr>
          <w:sz w:val="30"/>
          <w:szCs w:val="30"/>
        </w:rPr>
        <w:tab/>
      </w:r>
      <w:r>
        <w:rPr>
          <w:sz w:val="30"/>
          <w:szCs w:val="30"/>
        </w:rPr>
        <w:fldChar w:fldCharType="begin"/>
      </w:r>
      <w:r>
        <w:rPr>
          <w:sz w:val="30"/>
          <w:szCs w:val="30"/>
        </w:rPr>
        <w:instrText xml:space="preserve"> PAGEREF _Toc27942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_Toc3577 </w:instrText>
      </w:r>
      <w:r>
        <w:rPr>
          <w:rFonts w:hint="eastAsia"/>
          <w:sz w:val="30"/>
          <w:szCs w:val="30"/>
          <w:highlight w:val="none"/>
        </w:rPr>
        <w:fldChar w:fldCharType="separate"/>
      </w:r>
      <w:r>
        <w:rPr>
          <w:rFonts w:hint="eastAsia" w:ascii="黑体" w:hAnsi="黑体" w:eastAsia="黑体"/>
          <w:bCs/>
          <w:sz w:val="30"/>
          <w:szCs w:val="30"/>
        </w:rPr>
        <w:t xml:space="preserve">十、 </w:t>
      </w:r>
      <w:r>
        <w:rPr>
          <w:rFonts w:hint="eastAsia" w:ascii="黑体" w:hAnsi="黑体" w:eastAsia="黑体"/>
          <w:bCs/>
          <w:sz w:val="30"/>
          <w:szCs w:val="30"/>
          <w:highlight w:val="none"/>
        </w:rPr>
        <w:t>拟录用公示</w:t>
      </w:r>
      <w:r>
        <w:rPr>
          <w:sz w:val="30"/>
          <w:szCs w:val="30"/>
        </w:rPr>
        <w:tab/>
      </w:r>
      <w:r>
        <w:rPr>
          <w:sz w:val="30"/>
          <w:szCs w:val="30"/>
        </w:rPr>
        <w:fldChar w:fldCharType="begin"/>
      </w:r>
      <w:r>
        <w:rPr>
          <w:sz w:val="30"/>
          <w:szCs w:val="30"/>
        </w:rPr>
        <w:instrText xml:space="preserve"> PAGEREF _Toc3577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_Toc14022 </w:instrText>
      </w:r>
      <w:r>
        <w:rPr>
          <w:rFonts w:hint="eastAsia"/>
          <w:sz w:val="30"/>
          <w:szCs w:val="30"/>
          <w:highlight w:val="none"/>
        </w:rPr>
        <w:fldChar w:fldCharType="separate"/>
      </w:r>
      <w:r>
        <w:rPr>
          <w:rFonts w:hint="eastAsia" w:ascii="黑体" w:hAnsi="黑体" w:eastAsia="黑体"/>
          <w:bCs/>
          <w:sz w:val="30"/>
          <w:szCs w:val="30"/>
        </w:rPr>
        <w:t xml:space="preserve">十一、 </w:t>
      </w:r>
      <w:r>
        <w:rPr>
          <w:rFonts w:hint="eastAsia" w:ascii="黑体" w:hAnsi="黑体" w:eastAsia="黑体"/>
          <w:bCs/>
          <w:sz w:val="30"/>
          <w:szCs w:val="30"/>
          <w:highlight w:val="none"/>
        </w:rPr>
        <w:t>录用</w:t>
      </w:r>
      <w:r>
        <w:rPr>
          <w:sz w:val="30"/>
          <w:szCs w:val="30"/>
        </w:rPr>
        <w:tab/>
      </w:r>
      <w:r>
        <w:rPr>
          <w:sz w:val="30"/>
          <w:szCs w:val="30"/>
        </w:rPr>
        <w:fldChar w:fldCharType="begin"/>
      </w:r>
      <w:r>
        <w:rPr>
          <w:sz w:val="30"/>
          <w:szCs w:val="30"/>
        </w:rPr>
        <w:instrText xml:space="preserve"> PAGEREF _Toc14022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_Toc15614 </w:instrText>
      </w:r>
      <w:r>
        <w:rPr>
          <w:rFonts w:hint="eastAsia"/>
          <w:sz w:val="30"/>
          <w:szCs w:val="30"/>
          <w:highlight w:val="none"/>
        </w:rPr>
        <w:fldChar w:fldCharType="separate"/>
      </w:r>
      <w:r>
        <w:rPr>
          <w:rFonts w:hint="eastAsia" w:ascii="黑体" w:hAnsi="黑体" w:eastAsia="黑体"/>
          <w:bCs/>
          <w:sz w:val="30"/>
          <w:szCs w:val="30"/>
        </w:rPr>
        <w:t xml:space="preserve">十二、 </w:t>
      </w:r>
      <w:r>
        <w:rPr>
          <w:rFonts w:hint="eastAsia" w:ascii="黑体" w:hAnsi="黑体" w:eastAsia="黑体"/>
          <w:bCs/>
          <w:sz w:val="30"/>
          <w:szCs w:val="30"/>
          <w:highlight w:val="none"/>
        </w:rPr>
        <w:t>其他事项</w:t>
      </w:r>
      <w:r>
        <w:rPr>
          <w:sz w:val="30"/>
          <w:szCs w:val="30"/>
        </w:rPr>
        <w:tab/>
      </w:r>
      <w:r>
        <w:rPr>
          <w:sz w:val="30"/>
          <w:szCs w:val="30"/>
        </w:rPr>
        <w:fldChar w:fldCharType="begin"/>
      </w:r>
      <w:r>
        <w:rPr>
          <w:sz w:val="30"/>
          <w:szCs w:val="30"/>
        </w:rPr>
        <w:instrText xml:space="preserve"> PAGEREF _Toc15614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_Toc299 </w:instrText>
      </w:r>
      <w:r>
        <w:rPr>
          <w:rFonts w:hint="eastAsia"/>
          <w:sz w:val="30"/>
          <w:szCs w:val="30"/>
          <w:highlight w:val="none"/>
        </w:rPr>
        <w:fldChar w:fldCharType="separate"/>
      </w:r>
      <w:r>
        <w:rPr>
          <w:rFonts w:hint="eastAsia" w:ascii="仿宋_GB2312" w:eastAsia="仿宋_GB2312"/>
          <w:sz w:val="30"/>
          <w:szCs w:val="30"/>
        </w:rPr>
        <w:t xml:space="preserve">（一） </w:t>
      </w:r>
      <w:r>
        <w:rPr>
          <w:rFonts w:hint="eastAsia" w:ascii="楷体" w:hAnsi="楷体" w:eastAsia="楷体"/>
          <w:sz w:val="30"/>
          <w:szCs w:val="30"/>
          <w:highlight w:val="none"/>
        </w:rPr>
        <w:t>全日制普通教育</w:t>
      </w:r>
      <w:r>
        <w:rPr>
          <w:sz w:val="30"/>
          <w:szCs w:val="30"/>
        </w:rPr>
        <w:tab/>
      </w:r>
      <w:r>
        <w:rPr>
          <w:sz w:val="30"/>
          <w:szCs w:val="30"/>
        </w:rPr>
        <w:fldChar w:fldCharType="begin"/>
      </w:r>
      <w:r>
        <w:rPr>
          <w:sz w:val="30"/>
          <w:szCs w:val="30"/>
        </w:rPr>
        <w:instrText xml:space="preserve"> PAGEREF _Toc299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_Toc26133 </w:instrText>
      </w:r>
      <w:r>
        <w:rPr>
          <w:rFonts w:hint="eastAsia"/>
          <w:sz w:val="30"/>
          <w:szCs w:val="30"/>
          <w:highlight w:val="none"/>
        </w:rPr>
        <w:fldChar w:fldCharType="separate"/>
      </w:r>
      <w:r>
        <w:rPr>
          <w:rFonts w:hint="eastAsia" w:ascii="仿宋_GB2312" w:eastAsia="仿宋_GB2312"/>
          <w:sz w:val="30"/>
          <w:szCs w:val="30"/>
        </w:rPr>
        <w:t xml:space="preserve">（二） </w:t>
      </w:r>
      <w:r>
        <w:rPr>
          <w:rFonts w:hint="eastAsia" w:ascii="楷体" w:hAnsi="楷体" w:eastAsia="楷体"/>
          <w:sz w:val="30"/>
          <w:szCs w:val="30"/>
          <w:highlight w:val="none"/>
        </w:rPr>
        <w:t>生源</w:t>
      </w:r>
      <w:r>
        <w:rPr>
          <w:sz w:val="30"/>
          <w:szCs w:val="30"/>
        </w:rPr>
        <w:tab/>
      </w:r>
      <w:r>
        <w:rPr>
          <w:sz w:val="30"/>
          <w:szCs w:val="30"/>
        </w:rPr>
        <w:fldChar w:fldCharType="begin"/>
      </w:r>
      <w:r>
        <w:rPr>
          <w:sz w:val="30"/>
          <w:szCs w:val="30"/>
        </w:rPr>
        <w:instrText xml:space="preserve"> PAGEREF _Toc26133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_Toc30653 </w:instrText>
      </w:r>
      <w:r>
        <w:rPr>
          <w:rFonts w:hint="eastAsia"/>
          <w:sz w:val="30"/>
          <w:szCs w:val="30"/>
          <w:highlight w:val="none"/>
        </w:rPr>
        <w:fldChar w:fldCharType="separate"/>
      </w:r>
      <w:r>
        <w:rPr>
          <w:rFonts w:hint="eastAsia" w:ascii="仿宋_GB2312" w:eastAsia="仿宋_GB2312"/>
          <w:sz w:val="30"/>
          <w:szCs w:val="30"/>
        </w:rPr>
        <w:t xml:space="preserve">（三） </w:t>
      </w:r>
      <w:r>
        <w:rPr>
          <w:rFonts w:hint="eastAsia" w:ascii="楷体" w:hAnsi="楷体" w:eastAsia="楷体"/>
          <w:sz w:val="30"/>
          <w:szCs w:val="30"/>
          <w:highlight w:val="none"/>
        </w:rPr>
        <w:t>港澳台人员</w:t>
      </w:r>
      <w:r>
        <w:rPr>
          <w:sz w:val="30"/>
          <w:szCs w:val="30"/>
        </w:rPr>
        <w:tab/>
      </w:r>
      <w:r>
        <w:rPr>
          <w:sz w:val="30"/>
          <w:szCs w:val="30"/>
        </w:rPr>
        <w:fldChar w:fldCharType="begin"/>
      </w:r>
      <w:r>
        <w:rPr>
          <w:sz w:val="30"/>
          <w:szCs w:val="30"/>
        </w:rPr>
        <w:instrText xml:space="preserve"> PAGEREF _Toc30653 </w:instrText>
      </w:r>
      <w:r>
        <w:rPr>
          <w:sz w:val="30"/>
          <w:szCs w:val="30"/>
        </w:rPr>
        <w:fldChar w:fldCharType="separate"/>
      </w:r>
      <w:r>
        <w:rPr>
          <w:sz w:val="30"/>
          <w:szCs w:val="30"/>
        </w:rPr>
        <w:t>12</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_Toc3114 </w:instrText>
      </w:r>
      <w:r>
        <w:rPr>
          <w:rFonts w:hint="eastAsia"/>
          <w:sz w:val="30"/>
          <w:szCs w:val="30"/>
          <w:highlight w:val="none"/>
        </w:rPr>
        <w:fldChar w:fldCharType="separate"/>
      </w:r>
      <w:r>
        <w:rPr>
          <w:rFonts w:hint="eastAsia" w:ascii="黑体" w:hAnsi="黑体" w:eastAsia="黑体"/>
          <w:bCs/>
          <w:sz w:val="30"/>
          <w:szCs w:val="30"/>
        </w:rPr>
        <w:t xml:space="preserve">十三、 </w:t>
      </w:r>
      <w:r>
        <w:rPr>
          <w:rFonts w:hint="eastAsia" w:ascii="黑体" w:hAnsi="黑体" w:eastAsia="黑体"/>
          <w:bCs/>
          <w:sz w:val="30"/>
          <w:szCs w:val="30"/>
          <w:highlight w:val="none"/>
        </w:rPr>
        <w:t>疫情防控要求</w:t>
      </w:r>
      <w:r>
        <w:rPr>
          <w:sz w:val="30"/>
          <w:szCs w:val="30"/>
        </w:rPr>
        <w:tab/>
      </w:r>
      <w:r>
        <w:rPr>
          <w:sz w:val="30"/>
          <w:szCs w:val="30"/>
        </w:rPr>
        <w:fldChar w:fldCharType="begin"/>
      </w:r>
      <w:r>
        <w:rPr>
          <w:sz w:val="30"/>
          <w:szCs w:val="30"/>
        </w:rPr>
        <w:instrText xml:space="preserve"> PAGEREF _Toc3114 </w:instrText>
      </w:r>
      <w:r>
        <w:rPr>
          <w:sz w:val="30"/>
          <w:szCs w:val="30"/>
        </w:rPr>
        <w:fldChar w:fldCharType="separate"/>
      </w:r>
      <w:r>
        <w:rPr>
          <w:sz w:val="30"/>
          <w:szCs w:val="30"/>
        </w:rPr>
        <w:t>12</w:t>
      </w:r>
      <w:r>
        <w:rPr>
          <w:sz w:val="30"/>
          <w:szCs w:val="30"/>
        </w:rPr>
        <w:fldChar w:fldCharType="end"/>
      </w:r>
      <w:r>
        <w:rPr>
          <w:rFonts w:hint="eastAsia"/>
          <w:sz w:val="30"/>
          <w:szCs w:val="30"/>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30"/>
          <w:szCs w:val="30"/>
          <w:highlight w:val="none"/>
        </w:rPr>
      </w:pPr>
      <w:r>
        <w:rPr>
          <w:rFonts w:hint="eastAsia"/>
          <w:sz w:val="30"/>
          <w:szCs w:val="30"/>
          <w:highlight w:val="none"/>
        </w:rPr>
        <w:fldChar w:fldCharType="end"/>
      </w:r>
      <w:r>
        <w:rPr>
          <w:rFonts w:hint="eastAsia" w:ascii="仿宋" w:hAnsi="仿宋" w:eastAsia="仿宋" w:cs="仿宋"/>
          <w:sz w:val="30"/>
          <w:szCs w:val="30"/>
          <w:highlight w:val="none"/>
        </w:rPr>
        <w:t>注：可通过按住ctrl并单击目录，或点击“视图——导航窗格”进行快速检索。</w:t>
      </w:r>
    </w:p>
    <w:bookmarkEnd w:id="0"/>
    <w:p>
      <w:pPr>
        <w:adjustRightInd w:val="0"/>
        <w:snapToGrid w:val="0"/>
        <w:spacing w:line="640" w:lineRule="exact"/>
        <w:jc w:val="center"/>
        <w:rPr>
          <w:rFonts w:ascii="宋体" w:hAnsi="宋体" w:cs="宋体"/>
          <w:b/>
          <w:w w:val="85"/>
          <w:kern w:val="0"/>
          <w:sz w:val="30"/>
          <w:szCs w:val="30"/>
          <w:highlight w:val="none"/>
        </w:rPr>
        <w:sectPr>
          <w:footerReference r:id="rId3" w:type="default"/>
          <w:pgSz w:w="11906" w:h="16838"/>
          <w:pgMar w:top="1270" w:right="1689" w:bottom="1383" w:left="1689" w:header="851" w:footer="992" w:gutter="0"/>
          <w:pgNumType w:start="1"/>
          <w:cols w:space="0" w:num="1"/>
          <w:docGrid w:linePitch="312" w:charSpace="0"/>
        </w:sectPr>
      </w:pPr>
    </w:p>
    <w:p>
      <w:pPr>
        <w:rPr>
          <w:rFonts w:ascii="仿宋_GB2312" w:eastAsia="仿宋_GB2312"/>
          <w:sz w:val="30"/>
          <w:szCs w:val="30"/>
          <w:highlight w:val="none"/>
        </w:rPr>
      </w:pP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为帮助报考者详细了解报考政策、相关事项及提醒需要注意的有关事项，按照做好常态化疫情防控前提下国有企业公开招聘工作的要求，根据国有企业单位招聘有关规定，编写了《</w:t>
      </w:r>
      <w:r>
        <w:rPr>
          <w:rFonts w:hint="eastAsia" w:ascii="仿宋_GB2312" w:eastAsia="仿宋_GB2312"/>
          <w:sz w:val="28"/>
          <w:szCs w:val="28"/>
          <w:highlight w:val="none"/>
          <w:lang w:eastAsia="zh-CN"/>
        </w:rPr>
        <w:t>2022年9月</w:t>
      </w:r>
      <w:r>
        <w:rPr>
          <w:rFonts w:hint="eastAsia" w:ascii="仿宋_GB2312" w:eastAsia="仿宋_GB2312"/>
          <w:sz w:val="28"/>
          <w:szCs w:val="28"/>
          <w:highlight w:val="none"/>
        </w:rPr>
        <w:t>厦门市集美区产业投资有限公司公开招聘工作人员报考</w:t>
      </w:r>
      <w:r>
        <w:rPr>
          <w:rFonts w:hint="eastAsia" w:ascii="仿宋_GB2312" w:eastAsia="仿宋_GB2312"/>
          <w:sz w:val="28"/>
          <w:szCs w:val="28"/>
          <w:highlight w:val="none"/>
          <w:lang w:eastAsia="zh-CN"/>
        </w:rPr>
        <w:t>须知</w:t>
      </w:r>
      <w:r>
        <w:rPr>
          <w:rFonts w:hint="eastAsia" w:ascii="仿宋_GB2312" w:eastAsia="仿宋_GB2312"/>
          <w:sz w:val="28"/>
          <w:szCs w:val="28"/>
          <w:highlight w:val="none"/>
        </w:rPr>
        <w:t>》。本</w:t>
      </w:r>
      <w:r>
        <w:rPr>
          <w:rFonts w:hint="eastAsia" w:ascii="仿宋_GB2312" w:eastAsia="仿宋_GB2312"/>
          <w:sz w:val="28"/>
          <w:szCs w:val="28"/>
          <w:highlight w:val="none"/>
          <w:lang w:eastAsia="zh-CN"/>
        </w:rPr>
        <w:t>须知</w:t>
      </w:r>
      <w:r>
        <w:rPr>
          <w:rFonts w:hint="eastAsia" w:ascii="仿宋_GB2312" w:eastAsia="仿宋_GB2312"/>
          <w:sz w:val="28"/>
          <w:szCs w:val="28"/>
          <w:highlight w:val="none"/>
        </w:rPr>
        <w:t>仅适用于</w:t>
      </w:r>
      <w:r>
        <w:rPr>
          <w:rFonts w:hint="eastAsia" w:ascii="仿宋_GB2312" w:eastAsia="仿宋_GB2312"/>
          <w:sz w:val="28"/>
          <w:szCs w:val="28"/>
          <w:highlight w:val="none"/>
          <w:lang w:eastAsia="zh-CN"/>
        </w:rPr>
        <w:t>2022年9月</w:t>
      </w:r>
      <w:r>
        <w:rPr>
          <w:rFonts w:hint="eastAsia" w:ascii="仿宋_GB2312" w:eastAsia="仿宋_GB2312"/>
          <w:sz w:val="28"/>
          <w:szCs w:val="28"/>
          <w:highlight w:val="none"/>
        </w:rPr>
        <w:t>厦门市集美区产业投资有限公司公开招聘工作人员考试，由招聘单位解释。</w:t>
      </w:r>
    </w:p>
    <w:p>
      <w:pPr>
        <w:numPr>
          <w:ilvl w:val="0"/>
          <w:numId w:val="1"/>
        </w:numPr>
        <w:spacing w:line="360" w:lineRule="auto"/>
        <w:ind w:firstLine="562" w:firstLineChars="200"/>
        <w:outlineLvl w:val="0"/>
        <w:rPr>
          <w:rFonts w:ascii="黑体" w:hAnsi="黑体" w:eastAsia="黑体"/>
          <w:b/>
          <w:bCs/>
          <w:sz w:val="28"/>
          <w:szCs w:val="28"/>
          <w:highlight w:val="none"/>
        </w:rPr>
      </w:pPr>
      <w:bookmarkStart w:id="1" w:name="_Toc4087"/>
      <w:bookmarkStart w:id="2" w:name="_Toc12780"/>
      <w:bookmarkStart w:id="3" w:name="_Toc24314"/>
      <w:r>
        <w:rPr>
          <w:rFonts w:hint="eastAsia" w:ascii="黑体" w:hAnsi="黑体" w:eastAsia="黑体"/>
          <w:b/>
          <w:bCs/>
          <w:sz w:val="28"/>
          <w:szCs w:val="28"/>
          <w:highlight w:val="none"/>
        </w:rPr>
        <w:t>基本条件</w:t>
      </w:r>
      <w:bookmarkEnd w:id="1"/>
      <w:bookmarkEnd w:id="2"/>
      <w:bookmarkEnd w:id="3"/>
    </w:p>
    <w:p>
      <w:pPr>
        <w:numPr>
          <w:ilvl w:val="0"/>
          <w:numId w:val="2"/>
        </w:numPr>
        <w:spacing w:line="360" w:lineRule="auto"/>
        <w:rPr>
          <w:rFonts w:ascii="仿宋_GB2312" w:eastAsia="仿宋_GB2312"/>
          <w:sz w:val="28"/>
          <w:szCs w:val="28"/>
          <w:highlight w:val="none"/>
        </w:rPr>
      </w:pPr>
      <w:bookmarkStart w:id="4" w:name="_Toc29243_WPSOffice_Level2"/>
      <w:bookmarkStart w:id="5" w:name="_Toc9119_WPSOffice_Level2"/>
      <w:bookmarkStart w:id="6" w:name="_Toc17638_WPSOffice_Level2"/>
      <w:bookmarkStart w:id="7" w:name="_Toc19262_WPSOffice_Level2"/>
      <w:r>
        <w:rPr>
          <w:rFonts w:hint="eastAsia" w:ascii="仿宋_GB2312" w:eastAsia="仿宋_GB2312"/>
          <w:sz w:val="28"/>
          <w:szCs w:val="28"/>
          <w:highlight w:val="none"/>
        </w:rPr>
        <w:t>具有中华人民共和国国籍；</w:t>
      </w:r>
      <w:bookmarkEnd w:id="4"/>
      <w:bookmarkEnd w:id="5"/>
      <w:bookmarkEnd w:id="6"/>
      <w:bookmarkEnd w:id="7"/>
      <w:bookmarkStart w:id="8" w:name="_Toc17350_WPSOffice_Level2"/>
      <w:bookmarkStart w:id="9" w:name="_Toc11941_WPSOffice_Level2"/>
      <w:bookmarkStart w:id="10" w:name="_Toc12392_WPSOffice_Level2"/>
      <w:bookmarkStart w:id="11" w:name="_Toc4207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拥护中华人民共和国宪法；</w:t>
      </w:r>
      <w:bookmarkEnd w:id="8"/>
      <w:bookmarkEnd w:id="9"/>
      <w:bookmarkEnd w:id="10"/>
      <w:bookmarkEnd w:id="11"/>
      <w:bookmarkStart w:id="12" w:name="_Toc6014_WPSOffice_Level2"/>
      <w:bookmarkStart w:id="13" w:name="_Toc7847_WPSOffice_Level2"/>
      <w:bookmarkStart w:id="14" w:name="_Toc20094_WPSOffice_Level2"/>
      <w:bookmarkStart w:id="15" w:name="_Toc9634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拥护中国共产党的领导；</w:t>
      </w:r>
      <w:bookmarkEnd w:id="12"/>
      <w:bookmarkEnd w:id="13"/>
      <w:bookmarkEnd w:id="14"/>
      <w:bookmarkEnd w:id="15"/>
      <w:bookmarkStart w:id="16" w:name="_Toc6870_WPSOffice_Level2"/>
      <w:bookmarkStart w:id="17" w:name="_Toc27016_WPSOffice_Level2"/>
      <w:bookmarkStart w:id="18" w:name="_Toc30877_WPSOffice_Level2"/>
      <w:bookmarkStart w:id="19" w:name="_Toc13849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具有良好的品行和正常履行岗位职责的身体条件</w:t>
      </w:r>
      <w:bookmarkEnd w:id="16"/>
      <w:bookmarkEnd w:id="17"/>
      <w:bookmarkEnd w:id="18"/>
      <w:bookmarkEnd w:id="19"/>
      <w:bookmarkStart w:id="20" w:name="_Toc10788_WPSOffice_Level2"/>
      <w:bookmarkStart w:id="21" w:name="_Toc19929_WPSOffice_Level2"/>
      <w:bookmarkStart w:id="22" w:name="_Toc26060_WPSOffice_Level2"/>
      <w:bookmarkStart w:id="23" w:name="_Toc4758_WPSOffice_Level2"/>
      <w:r>
        <w:rPr>
          <w:rFonts w:hint="eastAsia" w:ascii="仿宋_GB2312" w:eastAsia="仿宋_GB2312"/>
          <w:sz w:val="28"/>
          <w:szCs w:val="28"/>
          <w:highlight w:val="none"/>
        </w:rPr>
        <w:t>；</w:t>
      </w:r>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具备招聘岗位设置的资格条件。</w:t>
      </w:r>
      <w:bookmarkEnd w:id="20"/>
      <w:bookmarkEnd w:id="21"/>
      <w:bookmarkEnd w:id="22"/>
      <w:bookmarkEnd w:id="23"/>
    </w:p>
    <w:p>
      <w:pPr>
        <w:numPr>
          <w:ilvl w:val="0"/>
          <w:numId w:val="1"/>
        </w:numPr>
        <w:spacing w:line="360" w:lineRule="auto"/>
        <w:ind w:firstLine="562" w:firstLineChars="200"/>
        <w:outlineLvl w:val="0"/>
        <w:rPr>
          <w:rFonts w:ascii="黑体" w:hAnsi="黑体" w:eastAsia="黑体"/>
          <w:b/>
          <w:bCs/>
          <w:sz w:val="28"/>
          <w:szCs w:val="28"/>
          <w:highlight w:val="none"/>
        </w:rPr>
      </w:pPr>
      <w:bookmarkStart w:id="24" w:name="_Toc28757"/>
      <w:bookmarkStart w:id="25" w:name="_Toc17301"/>
      <w:bookmarkStart w:id="26" w:name="_Toc16690"/>
      <w:r>
        <w:rPr>
          <w:rFonts w:hint="eastAsia" w:ascii="黑体" w:hAnsi="黑体" w:eastAsia="黑体"/>
          <w:b/>
          <w:bCs/>
          <w:sz w:val="28"/>
          <w:szCs w:val="28"/>
          <w:highlight w:val="none"/>
        </w:rPr>
        <w:t>不得报考或取消报考（录用）资格的情形</w:t>
      </w:r>
      <w:bookmarkEnd w:id="24"/>
      <w:bookmarkEnd w:id="25"/>
      <w:bookmarkEnd w:id="2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（一）曾因犯罪受过刑事处罚的；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（二）曾被开除公职</w:t>
      </w:r>
      <w:r>
        <w:rPr>
          <w:rFonts w:hint="eastAsia" w:ascii="仿宋_GB2312" w:eastAsia="仿宋_GB2312"/>
          <w:sz w:val="28"/>
          <w:szCs w:val="28"/>
          <w:highlight w:val="none"/>
          <w:lang w:eastAsia="zh-CN"/>
        </w:rPr>
        <w:t>或开除中国共产党党籍</w:t>
      </w:r>
      <w:r>
        <w:rPr>
          <w:rFonts w:hint="eastAsia" w:ascii="仿宋_GB2312" w:eastAsia="仿宋_GB2312"/>
          <w:sz w:val="28"/>
          <w:szCs w:val="28"/>
          <w:highlight w:val="none"/>
        </w:rPr>
        <w:t>的；</w:t>
      </w:r>
    </w:p>
    <w:p>
      <w:pPr>
        <w:spacing w:line="360" w:lineRule="auto"/>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rPr>
        <w:t>（三）</w:t>
      </w:r>
      <w:r>
        <w:rPr>
          <w:rFonts w:hint="eastAsia" w:ascii="仿宋_GB2312" w:eastAsia="仿宋_GB2312"/>
          <w:sz w:val="28"/>
          <w:szCs w:val="28"/>
          <w:highlight w:val="none"/>
          <w:lang w:val="en-US" w:eastAsia="zh-CN"/>
        </w:rPr>
        <w:t>被依法列为失信联合惩戒对象的；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（四）公务员或参照公务员法管理机关（单位）工作人员（以下简称“参公人员”）被辞退未满5年的；</w:t>
      </w:r>
    </w:p>
    <w:p>
      <w:pPr>
        <w:spacing w:line="360" w:lineRule="auto"/>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（五）</w:t>
      </w:r>
      <w:r>
        <w:rPr>
          <w:rFonts w:hint="eastAsia" w:ascii="仿宋_GB2312" w:eastAsia="仿宋_GB2312"/>
          <w:sz w:val="28"/>
          <w:szCs w:val="28"/>
          <w:highlight w:val="none"/>
          <w:lang w:val="en-US" w:eastAsia="zh-CN"/>
        </w:rPr>
        <w:t>公务员或参公人员录用后服务年限不满2年（含试用期）以及未达到与当地公务员主管部门或所在单位组织人事部门约定服务年限的；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（六）现役军人</w:t>
      </w:r>
      <w:r>
        <w:rPr>
          <w:rFonts w:hint="eastAsia" w:ascii="仿宋_GB2312" w:eastAsia="仿宋_GB2312"/>
          <w:sz w:val="28"/>
          <w:szCs w:val="28"/>
          <w:highlight w:val="none"/>
          <w:lang w:eastAsia="zh-CN"/>
        </w:rPr>
        <w:t>及</w:t>
      </w:r>
      <w:r>
        <w:rPr>
          <w:rFonts w:hint="eastAsia" w:ascii="仿宋_GB2312" w:eastAsia="仿宋_GB2312"/>
          <w:sz w:val="28"/>
          <w:szCs w:val="28"/>
          <w:highlight w:val="none"/>
        </w:rPr>
        <w:t>普通高等院校全日制在读的非应届毕业生（即202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年及以后才学业期满的全日制普通教育学生）</w:t>
      </w:r>
      <w:r>
        <w:rPr>
          <w:rFonts w:hint="eastAsia" w:ascii="仿宋_GB2312" w:eastAsia="仿宋_GB2312"/>
          <w:sz w:val="28"/>
          <w:szCs w:val="28"/>
          <w:highlight w:val="none"/>
          <w:lang w:eastAsia="zh-CN"/>
        </w:rPr>
        <w:t>；</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（七）涉嫌违法犯罪正在接受司法调查尚未做出结论的，</w:t>
      </w:r>
      <w:r>
        <w:rPr>
          <w:rFonts w:hint="eastAsia" w:ascii="仿宋_GB2312" w:eastAsia="仿宋_GB2312"/>
          <w:sz w:val="28"/>
          <w:szCs w:val="28"/>
          <w:highlight w:val="none"/>
          <w:lang w:eastAsia="zh-CN"/>
        </w:rPr>
        <w:t>或</w:t>
      </w:r>
      <w:r>
        <w:rPr>
          <w:rFonts w:hint="eastAsia" w:ascii="仿宋_GB2312" w:eastAsia="仿宋_GB2312"/>
          <w:sz w:val="28"/>
          <w:szCs w:val="28"/>
          <w:highlight w:val="none"/>
        </w:rPr>
        <w:t>尚未解除党</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政</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纪处分</w:t>
      </w:r>
      <w:r>
        <w:rPr>
          <w:rFonts w:hint="eastAsia" w:ascii="仿宋_GB2312" w:eastAsia="仿宋_GB2312"/>
          <w:sz w:val="28"/>
          <w:szCs w:val="28"/>
          <w:highlight w:val="none"/>
          <w:lang w:eastAsia="zh-CN"/>
        </w:rPr>
        <w:t>的，</w:t>
      </w:r>
      <w:r>
        <w:rPr>
          <w:rFonts w:hint="eastAsia" w:ascii="仿宋_GB2312" w:eastAsia="仿宋_GB2312"/>
          <w:sz w:val="28"/>
          <w:szCs w:val="28"/>
          <w:highlight w:val="none"/>
        </w:rPr>
        <w:t>或正在接受纪律审查的;</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八</w:t>
      </w:r>
      <w:r>
        <w:rPr>
          <w:rFonts w:hint="eastAsia" w:ascii="仿宋_GB2312" w:eastAsia="仿宋_GB2312"/>
          <w:sz w:val="28"/>
          <w:szCs w:val="28"/>
          <w:highlight w:val="none"/>
        </w:rPr>
        <w:t>）录用后即构成应回避关系的；</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九</w:t>
      </w:r>
      <w:r>
        <w:rPr>
          <w:rFonts w:hint="eastAsia" w:ascii="仿宋_GB2312" w:eastAsia="仿宋_GB2312"/>
          <w:sz w:val="28"/>
          <w:szCs w:val="28"/>
          <w:highlight w:val="none"/>
        </w:rPr>
        <w:t xml:space="preserve">）法律法规规章规定不得报考其他情形的人员。 </w:t>
      </w:r>
    </w:p>
    <w:p>
      <w:pPr>
        <w:numPr>
          <w:ilvl w:val="0"/>
          <w:numId w:val="1"/>
        </w:numPr>
        <w:spacing w:line="360" w:lineRule="auto"/>
        <w:ind w:firstLine="562" w:firstLineChars="200"/>
        <w:outlineLvl w:val="0"/>
        <w:rPr>
          <w:rFonts w:ascii="黑体" w:hAnsi="黑体" w:eastAsia="黑体"/>
          <w:b/>
          <w:bCs/>
          <w:sz w:val="28"/>
          <w:szCs w:val="28"/>
          <w:highlight w:val="none"/>
        </w:rPr>
      </w:pPr>
      <w:bookmarkStart w:id="27" w:name="_Toc31201"/>
      <w:bookmarkStart w:id="28" w:name="_Toc24335"/>
      <w:bookmarkStart w:id="29" w:name="_Toc18411"/>
      <w:r>
        <w:rPr>
          <w:rFonts w:hint="eastAsia" w:ascii="黑体" w:hAnsi="黑体" w:eastAsia="黑体"/>
          <w:b/>
          <w:bCs/>
          <w:sz w:val="28"/>
          <w:szCs w:val="28"/>
          <w:highlight w:val="none"/>
        </w:rPr>
        <w:t>选报岗位须知</w:t>
      </w:r>
      <w:bookmarkEnd w:id="27"/>
      <w:bookmarkEnd w:id="28"/>
      <w:bookmarkEnd w:id="29"/>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0" w:name="_Toc5898"/>
      <w:bookmarkStart w:id="31" w:name="_Toc14652"/>
      <w:bookmarkStart w:id="32" w:name="_Toc10676"/>
      <w:r>
        <w:rPr>
          <w:rFonts w:hint="eastAsia" w:ascii="楷体" w:hAnsi="楷体" w:eastAsia="楷体"/>
          <w:b/>
          <w:sz w:val="28"/>
          <w:szCs w:val="28"/>
          <w:highlight w:val="none"/>
        </w:rPr>
        <w:t>报考资格条件确认</w:t>
      </w:r>
      <w:bookmarkEnd w:id="30"/>
      <w:bookmarkEnd w:id="31"/>
      <w:bookmarkEnd w:id="32"/>
    </w:p>
    <w:p>
      <w:pPr>
        <w:spacing w:line="360" w:lineRule="auto"/>
        <w:ind w:firstLine="560" w:firstLineChars="200"/>
        <w:outlineLvl w:val="9"/>
        <w:rPr>
          <w:rFonts w:ascii="仿宋_GB2312" w:eastAsia="仿宋_GB2312"/>
          <w:sz w:val="28"/>
          <w:szCs w:val="28"/>
          <w:highlight w:val="none"/>
        </w:rPr>
      </w:pPr>
      <w:r>
        <w:rPr>
          <w:rFonts w:hint="eastAsia" w:ascii="仿宋_GB2312" w:eastAsia="仿宋_GB2312"/>
          <w:sz w:val="28"/>
          <w:szCs w:val="28"/>
          <w:highlight w:val="none"/>
        </w:rPr>
        <w:t xml:space="preserve">1.报考者须在报名时，全面、逐项对照招聘岗位和招聘简章等要求，确认符合报考资格条件。 </w:t>
      </w:r>
    </w:p>
    <w:p>
      <w:pPr>
        <w:widowControl w:val="0"/>
        <w:numPr>
          <w:ilvl w:val="0"/>
          <w:numId w:val="0"/>
        </w:numPr>
        <w:spacing w:line="360" w:lineRule="auto"/>
        <w:ind w:firstLine="560" w:firstLineChars="200"/>
        <w:jc w:val="both"/>
        <w:outlineLvl w:val="9"/>
        <w:rPr>
          <w:rFonts w:hint="eastAsia" w:ascii="楷体" w:hAnsi="楷体" w:eastAsia="楷体"/>
          <w:b/>
          <w:sz w:val="28"/>
          <w:szCs w:val="28"/>
          <w:highlight w:val="none"/>
        </w:rPr>
      </w:pPr>
      <w:bookmarkStart w:id="33" w:name="_Toc5111"/>
      <w:r>
        <w:rPr>
          <w:rFonts w:hint="eastAsia" w:ascii="仿宋_GB2312" w:eastAsia="仿宋_GB2312"/>
          <w:sz w:val="28"/>
          <w:szCs w:val="28"/>
          <w:highlight w:val="none"/>
        </w:rPr>
        <w:t>2.本次</w:t>
      </w:r>
      <w:r>
        <w:rPr>
          <w:rFonts w:hint="eastAsia" w:ascii="仿宋_GB2312" w:eastAsia="仿宋_GB2312"/>
          <w:sz w:val="28"/>
          <w:szCs w:val="28"/>
          <w:highlight w:val="none"/>
          <w:lang w:eastAsia="zh-CN"/>
        </w:rPr>
        <w:t>与同</w:t>
      </w:r>
      <w:r>
        <w:rPr>
          <w:rFonts w:hint="eastAsia" w:ascii="仿宋_GB2312" w:eastAsia="仿宋_GB2312"/>
          <w:sz w:val="28"/>
          <w:szCs w:val="28"/>
          <w:highlight w:val="none"/>
        </w:rPr>
        <w:t>时报名的《</w:t>
      </w:r>
      <w:r>
        <w:rPr>
          <w:rFonts w:hint="eastAsia" w:ascii="仿宋_GB2312" w:eastAsia="仿宋_GB2312"/>
          <w:sz w:val="28"/>
          <w:szCs w:val="28"/>
          <w:highlight w:val="none"/>
          <w:lang w:eastAsia="zh-CN"/>
        </w:rPr>
        <w:t>2022年9月</w:t>
      </w:r>
      <w:r>
        <w:rPr>
          <w:rFonts w:hint="eastAsia" w:ascii="仿宋_GB2312" w:eastAsia="仿宋_GB2312"/>
          <w:sz w:val="28"/>
          <w:szCs w:val="28"/>
          <w:highlight w:val="none"/>
        </w:rPr>
        <w:t>厦门市</w:t>
      </w:r>
      <w:r>
        <w:rPr>
          <w:rFonts w:hint="eastAsia" w:ascii="仿宋_GB2312" w:eastAsia="仿宋_GB2312"/>
          <w:sz w:val="28"/>
          <w:szCs w:val="28"/>
          <w:highlight w:val="none"/>
          <w:lang w:eastAsia="zh-CN"/>
        </w:rPr>
        <w:t>集美城市发展有限公司公</w:t>
      </w:r>
      <w:r>
        <w:rPr>
          <w:rFonts w:hint="eastAsia" w:ascii="仿宋_GB2312" w:eastAsia="仿宋_GB2312"/>
          <w:sz w:val="28"/>
          <w:szCs w:val="28"/>
          <w:highlight w:val="none"/>
        </w:rPr>
        <w:t>开招聘工作人员简章》同一场笔试，报考人员只能从这</w:t>
      </w:r>
      <w:r>
        <w:rPr>
          <w:rFonts w:hint="eastAsia" w:ascii="仿宋_GB2312" w:eastAsia="仿宋_GB2312"/>
          <w:sz w:val="28"/>
          <w:szCs w:val="28"/>
          <w:highlight w:val="none"/>
          <w:lang w:eastAsia="zh-CN"/>
        </w:rPr>
        <w:t>两个</w:t>
      </w:r>
      <w:r>
        <w:rPr>
          <w:rFonts w:hint="eastAsia" w:ascii="仿宋_GB2312" w:eastAsia="仿宋_GB2312"/>
          <w:sz w:val="28"/>
          <w:szCs w:val="28"/>
          <w:highlight w:val="none"/>
        </w:rPr>
        <w:t>考试简章中的岗位</w:t>
      </w:r>
      <w:r>
        <w:rPr>
          <w:rFonts w:hint="eastAsia" w:ascii="仿宋_GB2312" w:eastAsia="仿宋_GB2312"/>
          <w:sz w:val="28"/>
          <w:szCs w:val="28"/>
          <w:highlight w:val="none"/>
          <w:lang w:val="en-US" w:eastAsia="zh-CN"/>
        </w:rPr>
        <w:t>(岗位代码：901-905）</w:t>
      </w:r>
      <w:r>
        <w:rPr>
          <w:rFonts w:hint="eastAsia" w:ascii="仿宋_GB2312" w:eastAsia="仿宋_GB2312"/>
          <w:sz w:val="28"/>
          <w:szCs w:val="28"/>
          <w:highlight w:val="none"/>
        </w:rPr>
        <w:t>选报一个。报考人员通过资格初审后不得更改。重复报考，取消其报名资格。</w:t>
      </w:r>
      <w:bookmarkEnd w:id="33"/>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4" w:name="_Toc18362"/>
      <w:r>
        <w:rPr>
          <w:rFonts w:hint="eastAsia" w:ascii="楷体" w:hAnsi="楷体" w:eastAsia="楷体"/>
          <w:b/>
          <w:sz w:val="28"/>
          <w:szCs w:val="28"/>
          <w:highlight w:val="none"/>
          <w:lang w:val="en-US" w:eastAsia="zh-CN"/>
        </w:rPr>
        <w:t>面向2022</w:t>
      </w:r>
      <w:r>
        <w:rPr>
          <w:rFonts w:hint="eastAsia" w:ascii="楷体" w:hAnsi="楷体" w:eastAsia="楷体"/>
          <w:b/>
          <w:sz w:val="28"/>
          <w:szCs w:val="28"/>
          <w:highlight w:val="none"/>
        </w:rPr>
        <w:t>届毕业生</w:t>
      </w:r>
      <w:r>
        <w:rPr>
          <w:rFonts w:hint="eastAsia" w:ascii="楷体" w:hAnsi="楷体" w:eastAsia="楷体"/>
          <w:b/>
          <w:sz w:val="28"/>
          <w:szCs w:val="28"/>
          <w:highlight w:val="none"/>
          <w:lang w:eastAsia="zh-CN"/>
        </w:rPr>
        <w:t>专项岗位</w:t>
      </w:r>
      <w:bookmarkEnd w:id="34"/>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val="en-US" w:eastAsia="zh-CN"/>
        </w:rPr>
        <w:t>以下人员可根据岗位要求报考“面向2022届毕业生”专项岗位：</w:t>
      </w:r>
    </w:p>
    <w:p>
      <w:pPr>
        <w:spacing w:line="360" w:lineRule="auto"/>
        <w:ind w:firstLine="560" w:firstLineChars="200"/>
        <w:outlineLvl w:val="9"/>
        <w:rPr>
          <w:rFonts w:hint="eastAsia" w:ascii="仿宋_GB2312" w:eastAsia="仿宋_GB2312"/>
          <w:sz w:val="28"/>
          <w:szCs w:val="28"/>
          <w:highlight w:val="non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2022年应届毕业生。2022年应届毕业生一般是指，通过参加全国统一的普通高等学校招生考试达到录取要求入学或国家承认的其他方式入学、经省级招办批准录取，入学时将档案关系转到就读学校，并于2022年1月1日至2022年12月31日取得普通高等学校（教育）学历、学位证书。</w:t>
      </w:r>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.参加服务基层项目前无工作经历、服务期满考核合格后未享受优惠政策进入机关事业单位、期满考核合格2年内（指20</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年后期满）的高校毕业生。</w:t>
      </w:r>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eastAsia="zh-CN"/>
        </w:rPr>
        <w:t>参加</w:t>
      </w:r>
      <w:r>
        <w:rPr>
          <w:rFonts w:hint="eastAsia" w:ascii="仿宋_GB2312" w:eastAsia="仿宋_GB2312"/>
          <w:sz w:val="28"/>
          <w:szCs w:val="28"/>
          <w:highlight w:val="none"/>
        </w:rPr>
        <w:t>服务基层项目指参加国家和福建省组织实施的“三支一扶”计划、“志愿服务西部计划”（含研究生支教团）、“志愿服务欠发达地区计划”、大学生“村官”和“服务社区计划”，服务期限为1年及以上且于202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年12月31日前期满考核合格的福建户籍或福建生源高校毕业人员。</w:t>
      </w:r>
    </w:p>
    <w:p>
      <w:pPr>
        <w:spacing w:line="360" w:lineRule="auto"/>
        <w:ind w:firstLine="560" w:firstLineChars="200"/>
        <w:outlineLvl w:val="9"/>
        <w:rPr>
          <w:rFonts w:hint="eastAsia" w:ascii="楷体" w:hAnsi="楷体" w:eastAsia="楷体"/>
          <w:b/>
          <w:sz w:val="28"/>
          <w:szCs w:val="28"/>
          <w:highlight w:val="none"/>
        </w:rPr>
      </w:pPr>
      <w:bookmarkStart w:id="35" w:name="_Toc5378"/>
      <w:r>
        <w:rPr>
          <w:rFonts w:hint="eastAsia" w:ascii="仿宋_GB2312" w:eastAsia="仿宋_GB2312"/>
          <w:sz w:val="28"/>
          <w:szCs w:val="28"/>
          <w:highlight w:val="none"/>
        </w:rPr>
        <w:t>服务基层项目毕业生</w:t>
      </w:r>
      <w:r>
        <w:rPr>
          <w:rFonts w:hint="eastAsia" w:ascii="仿宋_GB2312" w:eastAsia="仿宋_GB2312"/>
          <w:sz w:val="28"/>
          <w:szCs w:val="28"/>
          <w:highlight w:val="none"/>
          <w:lang w:eastAsia="zh-CN"/>
        </w:rPr>
        <w:t>报名时需</w:t>
      </w:r>
      <w:r>
        <w:rPr>
          <w:rFonts w:hint="eastAsia" w:ascii="仿宋_GB2312" w:eastAsia="仿宋_GB2312"/>
          <w:sz w:val="28"/>
          <w:szCs w:val="28"/>
          <w:highlight w:val="none"/>
        </w:rPr>
        <w:t>提交项目组织实施机构出具的服务基层项目期满考核合格证书（或服务期满考核合格材料）</w:t>
      </w:r>
      <w:r>
        <w:rPr>
          <w:rFonts w:hint="eastAsia" w:ascii="仿宋_GB2312" w:eastAsia="仿宋_GB2312"/>
          <w:sz w:val="28"/>
          <w:szCs w:val="28"/>
          <w:highlight w:val="none"/>
          <w:lang w:eastAsia="zh-CN"/>
        </w:rPr>
        <w:t>。</w:t>
      </w:r>
      <w:bookmarkEnd w:id="35"/>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6" w:name="_Toc13366"/>
      <w:r>
        <w:rPr>
          <w:rFonts w:hint="eastAsia" w:ascii="楷体" w:hAnsi="楷体" w:eastAsia="楷体"/>
          <w:b/>
          <w:sz w:val="28"/>
          <w:szCs w:val="28"/>
          <w:highlight w:val="none"/>
        </w:rPr>
        <w:t>简历填写</w:t>
      </w:r>
      <w:bookmarkEnd w:id="36"/>
    </w:p>
    <w:p>
      <w:pPr>
        <w:spacing w:line="360" w:lineRule="auto"/>
        <w:ind w:firstLine="640"/>
        <w:rPr>
          <w:rFonts w:ascii="仿宋_GB2312" w:hAnsi="仿宋_GB2312" w:eastAsia="仿宋_GB2312" w:cs="仿宋_GB2312"/>
          <w:sz w:val="28"/>
          <w:szCs w:val="28"/>
          <w:highlight w:val="none"/>
        </w:rPr>
      </w:pPr>
      <w:bookmarkStart w:id="37" w:name="_Toc28349"/>
      <w:bookmarkStart w:id="38" w:name="_Toc5535"/>
      <w:bookmarkStart w:id="39" w:name="_Toc11175"/>
      <w:bookmarkStart w:id="40" w:name="_Toc4830"/>
      <w:bookmarkStart w:id="41" w:name="_Toc29293"/>
      <w:r>
        <w:rPr>
          <w:rFonts w:hint="eastAsia" w:ascii="仿宋_GB2312" w:eastAsia="仿宋_GB2312"/>
          <w:sz w:val="28"/>
          <w:szCs w:val="28"/>
          <w:highlight w:val="none"/>
        </w:rPr>
        <w:t>报考者须</w:t>
      </w:r>
      <w:r>
        <w:rPr>
          <w:rFonts w:hint="eastAsia" w:ascii="仿宋_GB2312" w:hAnsi="仿宋_GB2312" w:eastAsia="仿宋_GB2312" w:cs="仿宋_GB2312"/>
          <w:sz w:val="28"/>
          <w:szCs w:val="28"/>
          <w:highlight w:val="none"/>
        </w:rPr>
        <w:t>如实反映各阶段的就学、就业、待业等状态，期间不能中断，原则上应从高中起填写。</w:t>
      </w:r>
      <w:bookmarkEnd w:id="37"/>
      <w:bookmarkEnd w:id="38"/>
      <w:bookmarkEnd w:id="39"/>
      <w:bookmarkEnd w:id="40"/>
      <w:bookmarkEnd w:id="41"/>
    </w:p>
    <w:p>
      <w:pPr>
        <w:spacing w:line="360" w:lineRule="auto"/>
        <w:ind w:firstLine="64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在机关事业单位工作的，须注明单位性质（机关、参公单位、非参公事业单位）和本人身份（公务员、参公事业编制人员、非参公事业编制人员、编外人员）。</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部队、武警相关单位工作人员须注明“现役人员”还是“非现役文职人员”，或者“合同制职员”等。</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在读人员须注明教育类别是“全日制普教”还是“非全日制普教”。</w:t>
      </w:r>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42" w:name="_Toc6595"/>
      <w:r>
        <w:rPr>
          <w:rFonts w:hint="eastAsia" w:ascii="楷体" w:hAnsi="楷体" w:eastAsia="楷体"/>
          <w:b/>
          <w:sz w:val="28"/>
          <w:szCs w:val="28"/>
          <w:highlight w:val="none"/>
        </w:rPr>
        <w:t>回避情形</w:t>
      </w:r>
      <w:bookmarkEnd w:id="42"/>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单位工作人员凡有下列亲属关系的，不得在同一单位录用至具有直接上下级领导关系的管理岗位，不得在其中一方担任领导人员的单位录用至从事组织</w:t>
      </w:r>
      <w:r>
        <w:rPr>
          <w:rFonts w:ascii="仿宋_GB2312" w:eastAsia="仿宋_GB2312"/>
          <w:sz w:val="28"/>
          <w:szCs w:val="28"/>
          <w:highlight w:val="none"/>
        </w:rPr>
        <w:t>(</w:t>
      </w:r>
      <w:r>
        <w:rPr>
          <w:rFonts w:hint="eastAsia" w:ascii="仿宋_GB2312" w:eastAsia="仿宋_GB2312"/>
          <w:sz w:val="28"/>
          <w:szCs w:val="28"/>
          <w:highlight w:val="none"/>
        </w:rPr>
        <w:t>人事</w:t>
      </w:r>
      <w:r>
        <w:rPr>
          <w:rFonts w:ascii="仿宋_GB2312" w:eastAsia="仿宋_GB2312"/>
          <w:sz w:val="28"/>
          <w:szCs w:val="28"/>
          <w:highlight w:val="none"/>
        </w:rPr>
        <w:t>)</w:t>
      </w:r>
      <w:r>
        <w:rPr>
          <w:rFonts w:hint="eastAsia" w:ascii="仿宋_GB2312" w:eastAsia="仿宋_GB2312"/>
          <w:sz w:val="28"/>
          <w:szCs w:val="28"/>
          <w:highlight w:val="none"/>
        </w:rPr>
        <w:t>、纪检监察、审计、财务工作的岗位，也不得录用至双方直接隶属于同一领导人员的从事组织</w:t>
      </w:r>
      <w:r>
        <w:rPr>
          <w:rFonts w:ascii="仿宋_GB2312" w:eastAsia="仿宋_GB2312"/>
          <w:sz w:val="28"/>
          <w:szCs w:val="28"/>
          <w:highlight w:val="none"/>
        </w:rPr>
        <w:t>(</w:t>
      </w:r>
      <w:r>
        <w:rPr>
          <w:rFonts w:hint="eastAsia" w:ascii="仿宋_GB2312" w:eastAsia="仿宋_GB2312"/>
          <w:sz w:val="28"/>
          <w:szCs w:val="28"/>
          <w:highlight w:val="none"/>
        </w:rPr>
        <w:t>人事</w:t>
      </w:r>
      <w:r>
        <w:rPr>
          <w:rFonts w:ascii="仿宋_GB2312" w:eastAsia="仿宋_GB2312"/>
          <w:sz w:val="28"/>
          <w:szCs w:val="28"/>
          <w:highlight w:val="none"/>
        </w:rPr>
        <w:t>)</w:t>
      </w:r>
      <w:r>
        <w:rPr>
          <w:rFonts w:hint="eastAsia" w:ascii="仿宋_GB2312" w:eastAsia="仿宋_GB2312"/>
          <w:sz w:val="28"/>
          <w:szCs w:val="28"/>
          <w:highlight w:val="none"/>
        </w:rPr>
        <w:t>、纪检监察、审计、财务工作的内设机构正职岗位：</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1.</w:t>
      </w:r>
      <w:r>
        <w:rPr>
          <w:rFonts w:hint="eastAsia" w:ascii="仿宋_GB2312" w:eastAsia="仿宋_GB2312"/>
          <w:sz w:val="28"/>
          <w:szCs w:val="28"/>
          <w:highlight w:val="none"/>
        </w:rPr>
        <w:t>夫妻关系</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2.</w:t>
      </w:r>
      <w:r>
        <w:rPr>
          <w:rFonts w:hint="eastAsia" w:ascii="仿宋_GB2312" w:eastAsia="仿宋_GB2312"/>
          <w:sz w:val="28"/>
          <w:szCs w:val="28"/>
          <w:highlight w:val="none"/>
        </w:rPr>
        <w:t>直系血亲关系，包括祖父母、外祖父母、父母、子女、孙子女、外孙子女</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3.</w:t>
      </w:r>
      <w:r>
        <w:rPr>
          <w:rFonts w:hint="eastAsia" w:ascii="仿宋_GB2312" w:eastAsia="仿宋_GB2312"/>
          <w:sz w:val="28"/>
          <w:szCs w:val="28"/>
          <w:highlight w:val="none"/>
        </w:rPr>
        <w:t>三代以内旁系血亲关系，包括叔伯姑舅姨、兄弟姐妹、堂兄弟姐妹、表兄弟姐妹、侄子女、甥子女</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4.</w:t>
      </w:r>
      <w:r>
        <w:rPr>
          <w:rFonts w:hint="eastAsia" w:ascii="仿宋_GB2312" w:eastAsia="仿宋_GB2312"/>
          <w:sz w:val="28"/>
          <w:szCs w:val="28"/>
          <w:highlight w:val="none"/>
        </w:rPr>
        <w:t>近姻亲关系，包括配偶的父母、配偶的兄弟姐妹及其配偶、子女的配偶及子女配偶的父母、三代以内旁系血亲的配偶</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5.</w:t>
      </w:r>
      <w:r>
        <w:rPr>
          <w:rFonts w:hint="eastAsia" w:ascii="仿宋_GB2312" w:eastAsia="仿宋_GB2312"/>
          <w:sz w:val="28"/>
          <w:szCs w:val="28"/>
          <w:highlight w:val="none"/>
        </w:rPr>
        <w:t>其他亲属关系，包括养父母子女、形成抚养关系的继父母子女及由此形成的直系血亲、三代以内旁系血亲和近姻亲关系。</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所称直接上下级领导关系包括：</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1.</w:t>
      </w:r>
      <w:r>
        <w:rPr>
          <w:rFonts w:hint="eastAsia" w:ascii="仿宋_GB2312" w:eastAsia="仿宋_GB2312"/>
          <w:sz w:val="28"/>
          <w:szCs w:val="28"/>
          <w:highlight w:val="none"/>
        </w:rPr>
        <w:t>领导班子正职与副职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2.</w:t>
      </w:r>
      <w:r>
        <w:rPr>
          <w:rFonts w:hint="eastAsia" w:ascii="仿宋_GB2312" w:eastAsia="仿宋_GB2312"/>
          <w:sz w:val="28"/>
          <w:szCs w:val="28"/>
          <w:highlight w:val="none"/>
        </w:rPr>
        <w:t>同一内设机构正职与副职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3.</w:t>
      </w:r>
      <w:r>
        <w:rPr>
          <w:rFonts w:hint="eastAsia" w:ascii="仿宋_GB2312" w:eastAsia="仿宋_GB2312"/>
          <w:sz w:val="28"/>
          <w:szCs w:val="28"/>
          <w:highlight w:val="none"/>
        </w:rPr>
        <w:t>上级正职、副职与下级正职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4.</w:t>
      </w:r>
      <w:r>
        <w:rPr>
          <w:rFonts w:hint="eastAsia" w:ascii="仿宋_GB2312" w:eastAsia="仿宋_GB2312"/>
          <w:sz w:val="28"/>
          <w:szCs w:val="28"/>
          <w:highlight w:val="none"/>
        </w:rPr>
        <w:t>单位无内设机构的，其正职、副职与其他管理人员以及从事审计、财务工作的专业技术人员</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5.</w:t>
      </w:r>
      <w:r>
        <w:rPr>
          <w:rFonts w:hint="eastAsia" w:ascii="仿宋_GB2312" w:eastAsia="仿宋_GB2312"/>
          <w:sz w:val="28"/>
          <w:szCs w:val="28"/>
          <w:highlight w:val="none"/>
        </w:rPr>
        <w:t>内设机构无下一级单位的，其正职、副职与其他管理人员以及从事审计、财务工作的专业技术人员。</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从事招聘工作的人员存在应当回避情形的，须实行履职回避。</w:t>
      </w:r>
    </w:p>
    <w:p>
      <w:pPr>
        <w:numPr>
          <w:ilvl w:val="0"/>
          <w:numId w:val="4"/>
        </w:numPr>
        <w:spacing w:line="360" w:lineRule="auto"/>
        <w:ind w:firstLine="562" w:firstLineChars="200"/>
        <w:outlineLvl w:val="0"/>
        <w:rPr>
          <w:rFonts w:ascii="黑体" w:hAnsi="黑体" w:eastAsia="黑体"/>
          <w:b/>
          <w:bCs/>
          <w:sz w:val="28"/>
          <w:szCs w:val="28"/>
          <w:highlight w:val="none"/>
        </w:rPr>
      </w:pPr>
      <w:bookmarkStart w:id="43" w:name="_Toc21604"/>
      <w:bookmarkStart w:id="44" w:name="_Toc11277"/>
      <w:bookmarkStart w:id="45" w:name="_Toc14467"/>
      <w:r>
        <w:rPr>
          <w:rFonts w:hint="eastAsia" w:ascii="黑体" w:hAnsi="黑体" w:eastAsia="黑体"/>
          <w:b/>
          <w:bCs/>
          <w:sz w:val="28"/>
          <w:szCs w:val="28"/>
          <w:highlight w:val="none"/>
        </w:rPr>
        <w:t>年龄、资格（历）等的计算办法</w:t>
      </w:r>
      <w:bookmarkEnd w:id="43"/>
      <w:bookmarkEnd w:id="44"/>
      <w:bookmarkEnd w:id="45"/>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如无特别说明，相关年限的计算、证书取得时间等，均指计算截至报名截止当月。</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最高年龄要求35周岁是指已满18周岁、未满36周岁，具体计算到月</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在1986</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月</w:t>
      </w:r>
      <w:r>
        <w:rPr>
          <w:rFonts w:hint="eastAsia" w:ascii="仿宋_GB2312" w:eastAsia="仿宋_GB2312"/>
          <w:sz w:val="28"/>
          <w:szCs w:val="28"/>
          <w:highlight w:val="none"/>
          <w:lang w:eastAsia="zh-CN"/>
        </w:rPr>
        <w:t>至</w:t>
      </w:r>
      <w:r>
        <w:rPr>
          <w:rFonts w:hint="eastAsia" w:ascii="仿宋_GB2312" w:eastAsia="仿宋_GB2312"/>
          <w:sz w:val="28"/>
          <w:szCs w:val="28"/>
          <w:highlight w:val="none"/>
          <w:lang w:val="en-US" w:eastAsia="zh-CN"/>
        </w:rPr>
        <w:t>2004年9月期间</w:t>
      </w:r>
      <w:r>
        <w:rPr>
          <w:rFonts w:hint="eastAsia" w:ascii="仿宋_GB2312" w:eastAsia="仿宋_GB2312"/>
          <w:sz w:val="28"/>
          <w:szCs w:val="28"/>
          <w:highlight w:val="none"/>
        </w:rPr>
        <w:t>出生</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的人员。</w:t>
      </w:r>
    </w:p>
    <w:p>
      <w:pPr>
        <w:numPr>
          <w:ilvl w:val="0"/>
          <w:numId w:val="4"/>
        </w:numPr>
        <w:spacing w:line="360" w:lineRule="auto"/>
        <w:ind w:firstLine="562" w:firstLineChars="200"/>
        <w:outlineLvl w:val="0"/>
        <w:rPr>
          <w:rFonts w:ascii="黑体" w:hAnsi="黑体" w:eastAsia="黑体"/>
          <w:b/>
          <w:bCs/>
          <w:sz w:val="28"/>
          <w:szCs w:val="28"/>
          <w:highlight w:val="none"/>
        </w:rPr>
      </w:pPr>
      <w:bookmarkStart w:id="46" w:name="_Toc14880"/>
      <w:bookmarkStart w:id="47" w:name="_Toc15826"/>
      <w:bookmarkStart w:id="48" w:name="_Toc8337"/>
      <w:r>
        <w:rPr>
          <w:rFonts w:hint="eastAsia" w:ascii="黑体" w:hAnsi="黑体" w:eastAsia="黑体"/>
          <w:b/>
          <w:bCs/>
          <w:sz w:val="28"/>
          <w:szCs w:val="28"/>
          <w:highlight w:val="none"/>
        </w:rPr>
        <w:t>学历（位）认定</w:t>
      </w:r>
      <w:bookmarkEnd w:id="46"/>
      <w:bookmarkEnd w:id="47"/>
      <w:bookmarkEnd w:id="48"/>
    </w:p>
    <w:p>
      <w:pPr>
        <w:spacing w:line="360" w:lineRule="auto"/>
        <w:ind w:firstLine="560" w:firstLineChars="200"/>
        <w:rPr>
          <w:rFonts w:hint="eastAsia" w:ascii="仿宋_GB2312" w:eastAsia="仿宋_GB2312"/>
          <w:sz w:val="28"/>
          <w:szCs w:val="28"/>
          <w:highlight w:val="none"/>
        </w:rPr>
      </w:pPr>
      <w:bookmarkStart w:id="49" w:name="_Toc14664"/>
      <w:r>
        <w:rPr>
          <w:rFonts w:hint="eastAsia" w:ascii="仿宋_GB2312" w:eastAsia="仿宋_GB2312"/>
          <w:sz w:val="28"/>
          <w:szCs w:val="28"/>
          <w:highlight w:val="none"/>
          <w:lang w:val="en-US" w:eastAsia="zh-CN"/>
        </w:rPr>
        <w:t>报考者的学历应为国家承认的国民教育序列学历。</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0" w:name="_Toc9293"/>
      <w:r>
        <w:rPr>
          <w:rFonts w:hint="eastAsia" w:ascii="楷体" w:hAnsi="楷体" w:eastAsia="楷体" w:cs="楷体"/>
          <w:b/>
          <w:bCs/>
          <w:sz w:val="28"/>
          <w:szCs w:val="28"/>
          <w:highlight w:val="none"/>
        </w:rPr>
        <w:t>境内学历</w:t>
      </w:r>
      <w:r>
        <w:rPr>
          <w:rFonts w:hint="eastAsia" w:ascii="楷体" w:hAnsi="楷体" w:eastAsia="楷体" w:cs="楷体"/>
          <w:b/>
          <w:bCs/>
          <w:sz w:val="28"/>
          <w:szCs w:val="28"/>
          <w:highlight w:val="none"/>
          <w:lang w:eastAsia="zh-CN"/>
        </w:rPr>
        <w:t>（位）</w:t>
      </w:r>
      <w:bookmarkEnd w:id="49"/>
      <w:bookmarkEnd w:id="50"/>
    </w:p>
    <w:p>
      <w:pPr>
        <w:spacing w:line="360" w:lineRule="auto"/>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用于</w:t>
      </w:r>
      <w:r>
        <w:rPr>
          <w:rFonts w:hint="eastAsia" w:ascii="仿宋_GB2312" w:eastAsia="仿宋_GB2312"/>
          <w:sz w:val="28"/>
          <w:szCs w:val="28"/>
          <w:highlight w:val="none"/>
        </w:rPr>
        <w:t>报考的学历（含自学考试、成人教育、网络教育、夜大、电大等）应在中国高等教育学生信息网（简称“学信网”，http://www.chsi.com.cn/）上</w:t>
      </w:r>
      <w:r>
        <w:rPr>
          <w:rFonts w:hint="eastAsia" w:ascii="仿宋_GB2312" w:eastAsia="仿宋_GB2312"/>
          <w:sz w:val="28"/>
          <w:szCs w:val="28"/>
          <w:highlight w:val="none"/>
          <w:lang w:eastAsia="zh-CN"/>
        </w:rPr>
        <w:t>可</w:t>
      </w:r>
      <w:r>
        <w:rPr>
          <w:rFonts w:hint="eastAsia" w:ascii="仿宋_GB2312" w:eastAsia="仿宋_GB2312"/>
          <w:sz w:val="28"/>
          <w:szCs w:val="28"/>
          <w:highlight w:val="none"/>
        </w:rPr>
        <w:t>查询认证；有学位条件要求的，应在中国学位与研究生教育信息网（简称“学位网”，http://www.cdgdc.edu.cn/）上查询认证。</w:t>
      </w:r>
      <w:r>
        <w:rPr>
          <w:rFonts w:hint="eastAsia" w:ascii="仿宋_GB2312" w:eastAsia="仿宋_GB2312"/>
          <w:sz w:val="28"/>
          <w:szCs w:val="28"/>
          <w:highlight w:val="none"/>
          <w:lang w:val="en-US" w:eastAsia="zh-CN"/>
        </w:rPr>
        <w:t>以辅修专业报考的，应同时取得国家承认的列入国民教育序列学历毕业证书，并且辅修专业相应信息可在“学信网”和“学位网”上查询。</w:t>
      </w:r>
    </w:p>
    <w:p>
      <w:pPr>
        <w:widowControl w:val="0"/>
        <w:numPr>
          <w:ilvl w:val="0"/>
          <w:numId w:val="0"/>
        </w:numPr>
        <w:spacing w:line="360" w:lineRule="auto"/>
        <w:jc w:val="both"/>
        <w:rPr>
          <w:rFonts w:hint="eastAsia" w:ascii="楷体" w:hAnsi="楷体" w:eastAsia="楷体" w:cs="楷体"/>
          <w:b/>
          <w:bCs/>
          <w:sz w:val="28"/>
          <w:szCs w:val="28"/>
          <w:highlight w:val="none"/>
          <w:lang w:eastAsia="zh-CN"/>
        </w:rPr>
      </w:pP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1" w:name="_Toc2796"/>
      <w:r>
        <w:rPr>
          <w:rFonts w:hint="eastAsia" w:ascii="楷体" w:hAnsi="楷体" w:eastAsia="楷体" w:cs="楷体"/>
          <w:b/>
          <w:bCs/>
          <w:sz w:val="28"/>
          <w:szCs w:val="28"/>
          <w:highlight w:val="none"/>
        </w:rPr>
        <w:t>第二学士学位</w:t>
      </w:r>
      <w:bookmarkEnd w:id="51"/>
    </w:p>
    <w:p>
      <w:pPr>
        <w:widowControl w:val="0"/>
        <w:numPr>
          <w:ilvl w:val="0"/>
          <w:numId w:val="0"/>
        </w:numPr>
        <w:spacing w:line="360" w:lineRule="auto"/>
        <w:ind w:firstLine="560" w:firstLineChars="200"/>
        <w:jc w:val="both"/>
        <w:rPr>
          <w:rFonts w:hint="eastAsia" w:ascii="楷体" w:hAnsi="楷体" w:eastAsia="楷体" w:cs="楷体"/>
          <w:b/>
          <w:bCs/>
          <w:sz w:val="28"/>
          <w:szCs w:val="28"/>
          <w:highlight w:val="none"/>
          <w:lang w:eastAsia="zh-CN"/>
        </w:rPr>
      </w:pPr>
      <w:r>
        <w:rPr>
          <w:rFonts w:hint="eastAsia" w:ascii="仿宋_GB2312" w:eastAsia="仿宋_GB2312"/>
          <w:sz w:val="28"/>
          <w:szCs w:val="28"/>
          <w:highlight w:val="none"/>
        </w:rPr>
        <w:t>根据《教育部办公厅关于在普通高校继续开展第二学士学位教育的通知》（教高厅函〔2020〕9号）取得第二学士学位的毕业证书和学位证书，与对应本科专业相应证书具有同等效力，按上述要求进行查询认证。</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2" w:name="_Toc134"/>
      <w:r>
        <w:rPr>
          <w:rFonts w:hint="eastAsia" w:ascii="楷体" w:hAnsi="楷体" w:eastAsia="楷体" w:cs="楷体"/>
          <w:b/>
          <w:bCs/>
          <w:sz w:val="28"/>
          <w:szCs w:val="28"/>
          <w:highlight w:val="none"/>
          <w:lang w:eastAsia="zh-CN"/>
        </w:rPr>
        <w:t>国（境）外</w:t>
      </w:r>
      <w:r>
        <w:rPr>
          <w:rFonts w:hint="eastAsia" w:ascii="楷体" w:hAnsi="楷体" w:eastAsia="楷体" w:cs="楷体"/>
          <w:b/>
          <w:bCs/>
          <w:sz w:val="28"/>
          <w:szCs w:val="28"/>
          <w:highlight w:val="none"/>
        </w:rPr>
        <w:t>学历</w:t>
      </w:r>
      <w:r>
        <w:rPr>
          <w:rFonts w:hint="eastAsia" w:ascii="楷体" w:hAnsi="楷体" w:eastAsia="楷体" w:cs="楷体"/>
          <w:b/>
          <w:bCs/>
          <w:sz w:val="28"/>
          <w:szCs w:val="28"/>
          <w:highlight w:val="none"/>
          <w:lang w:eastAsia="zh-CN"/>
        </w:rPr>
        <w:t>（位）</w:t>
      </w:r>
      <w:bookmarkEnd w:id="52"/>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持</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学历（位）报考的，应提供教育部留学服务中心出具的《国外学历学位认证书》或《香港、澳门特别行政区学历学位认证书》、我国驻外使领馆的有关证明材料。</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属于国内院校与</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院校联合办学取得</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学历学位的，需提供教育部留学服务中心出具的《联合办学学历学位评估意见书》或《联合办学学历学位认证书》。</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3" w:name="_Toc26243"/>
      <w:r>
        <w:rPr>
          <w:rFonts w:hint="eastAsia" w:ascii="楷体" w:hAnsi="楷体" w:eastAsia="楷体" w:cs="楷体"/>
          <w:b/>
          <w:bCs/>
          <w:sz w:val="28"/>
          <w:szCs w:val="28"/>
          <w:highlight w:val="none"/>
          <w:lang w:eastAsia="zh-CN"/>
        </w:rPr>
        <w:t>我省“双学位”“双专业”学历</w:t>
      </w:r>
      <w:bookmarkEnd w:id="53"/>
    </w:p>
    <w:p>
      <w:pPr>
        <w:spacing w:line="360" w:lineRule="auto"/>
        <w:ind w:firstLine="560" w:firstLineChars="200"/>
        <w:rPr>
          <w:rFonts w:hint="eastAsia" w:ascii="楷体" w:hAnsi="楷体" w:eastAsia="楷体" w:cs="楷体"/>
          <w:b/>
          <w:bCs/>
          <w:sz w:val="28"/>
          <w:szCs w:val="28"/>
          <w:highlight w:val="none"/>
          <w:lang w:eastAsia="zh-CN"/>
        </w:rPr>
      </w:pPr>
      <w:r>
        <w:rPr>
          <w:rFonts w:hint="eastAsia" w:ascii="仿宋_GB2312" w:eastAsia="仿宋_GB2312"/>
          <w:sz w:val="28"/>
          <w:szCs w:val="28"/>
          <w:highlight w:val="none"/>
        </w:rPr>
        <w:t>根据《关于在全省高校毕业生中试行“双学位”“双专业”教育的意见》（闽教高〔2009〕9号），经修读达到毕业条件并获得“双学位”“双专业”证书的报考者，在本省范围内承认其学历、学位。</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4" w:name="_Toc22173"/>
      <w:r>
        <w:rPr>
          <w:rFonts w:hint="eastAsia" w:ascii="楷体" w:hAnsi="楷体" w:eastAsia="楷体"/>
          <w:b/>
          <w:sz w:val="28"/>
          <w:szCs w:val="28"/>
          <w:highlight w:val="none"/>
        </w:rPr>
        <w:t>提醒事项</w:t>
      </w:r>
      <w:bookmarkEnd w:id="5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全日制普通教育202</w:t>
      </w:r>
      <w:r>
        <w:rPr>
          <w:rFonts w:hint="eastAsia" w:ascii="仿宋_GB2312" w:eastAsia="仿宋_GB2312"/>
          <w:sz w:val="28"/>
          <w:szCs w:val="28"/>
          <w:highlight w:val="none"/>
          <w:lang w:val="en-US" w:eastAsia="zh-CN"/>
        </w:rPr>
        <w:t>2届</w:t>
      </w:r>
      <w:r>
        <w:rPr>
          <w:rFonts w:hint="eastAsia" w:ascii="仿宋_GB2312" w:eastAsia="仿宋_GB2312"/>
          <w:sz w:val="28"/>
          <w:szCs w:val="28"/>
          <w:highlight w:val="none"/>
        </w:rPr>
        <w:t>毕业生尚未取得相应学历（位）的，可持学校出具的《就业推荐表》报名，但须向招聘单位书面承诺（简章附件5）于202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年12月31日前取得并能提供符合岗位报考条件的相应学历(位)证书，否则视为自动放弃考试（录用）资格。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55" w:name="_Toc17982"/>
      <w:bookmarkStart w:id="56" w:name="_Toc31953"/>
      <w:bookmarkStart w:id="57" w:name="_Toc3222"/>
      <w:r>
        <w:rPr>
          <w:rFonts w:hint="eastAsia" w:ascii="黑体" w:hAnsi="黑体" w:eastAsia="黑体"/>
          <w:b/>
          <w:bCs/>
          <w:sz w:val="28"/>
          <w:szCs w:val="28"/>
          <w:highlight w:val="none"/>
        </w:rPr>
        <w:t>专业</w:t>
      </w:r>
      <w:bookmarkEnd w:id="55"/>
      <w:bookmarkEnd w:id="56"/>
      <w:bookmarkEnd w:id="57"/>
    </w:p>
    <w:p>
      <w:pPr>
        <w:spacing w:line="360" w:lineRule="auto"/>
        <w:ind w:firstLine="560" w:firstLineChars="200"/>
        <w:rPr>
          <w:rFonts w:ascii="仿宋_GB2312" w:eastAsia="仿宋_GB2312"/>
          <w:sz w:val="28"/>
          <w:szCs w:val="28"/>
          <w:highlight w:val="none"/>
          <w:bdr w:val="single" w:color="auto" w:sz="4" w:space="0"/>
        </w:rPr>
      </w:pPr>
      <w:r>
        <w:rPr>
          <w:rFonts w:hint="eastAsia" w:ascii="仿宋_GB2312" w:eastAsia="仿宋_GB2312"/>
          <w:sz w:val="28"/>
          <w:szCs w:val="28"/>
          <w:highlight w:val="none"/>
        </w:rPr>
        <w:t>本次招考以《福建省机关事业单位招考专业指导目录（202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年）》（简章附件3，文中简称《专业指导目录》）作为岗位专业条件设置和审核的依据。其他来源的专业指导目录不作为本次报考和审核的依据。</w:t>
      </w:r>
    </w:p>
    <w:p>
      <w:pPr>
        <w:spacing w:line="360" w:lineRule="auto"/>
        <w:ind w:firstLine="562" w:firstLineChars="200"/>
        <w:outlineLvl w:val="1"/>
        <w:rPr>
          <w:rFonts w:ascii="楷体" w:hAnsi="楷体" w:eastAsia="楷体"/>
          <w:b/>
          <w:sz w:val="28"/>
          <w:szCs w:val="28"/>
          <w:highlight w:val="none"/>
        </w:rPr>
      </w:pPr>
      <w:bookmarkStart w:id="58" w:name="_Toc11552"/>
      <w:bookmarkStart w:id="59" w:name="_Toc29468"/>
      <w:bookmarkStart w:id="60" w:name="_Toc20639"/>
      <w:r>
        <w:rPr>
          <w:rFonts w:hint="eastAsia" w:ascii="楷体" w:hAnsi="楷体" w:eastAsia="楷体"/>
          <w:b/>
          <w:sz w:val="28"/>
          <w:szCs w:val="28"/>
          <w:highlight w:val="none"/>
        </w:rPr>
        <w:t>（一）填报专业名称</w:t>
      </w:r>
      <w:bookmarkEnd w:id="58"/>
      <w:bookmarkEnd w:id="59"/>
      <w:bookmarkEnd w:id="60"/>
    </w:p>
    <w:p>
      <w:pPr>
        <w:spacing w:line="360" w:lineRule="auto"/>
        <w:ind w:firstLine="560" w:firstLineChars="200"/>
        <w:rPr>
          <w:rFonts w:ascii="仿宋_GB2312" w:eastAsia="仿宋_GB2312"/>
          <w:sz w:val="28"/>
          <w:szCs w:val="28"/>
          <w:highlight w:val="none"/>
          <w:bdr w:val="single" w:color="auto" w:sz="4" w:space="0"/>
        </w:rPr>
      </w:pPr>
      <w:r>
        <w:rPr>
          <w:rFonts w:hint="eastAsia" w:ascii="仿宋_GB2312" w:eastAsia="仿宋_GB2312"/>
          <w:sz w:val="28"/>
          <w:szCs w:val="28"/>
          <w:highlight w:val="none"/>
        </w:rPr>
        <w:t>报考者应严格按照所持证书（认证报告）上内容只字不差、如实填写所学专业。其中，全日制普通教育学历所学专业以毕业证书为准，非全日制普通教育和</w:t>
      </w:r>
      <w:r>
        <w:rPr>
          <w:rFonts w:hint="eastAsia" w:ascii="仿宋_GB2312" w:eastAsia="仿宋_GB2312"/>
          <w:sz w:val="28"/>
          <w:szCs w:val="28"/>
          <w:highlight w:val="none"/>
          <w:lang w:eastAsia="zh-CN"/>
        </w:rPr>
        <w:t>国（</w:t>
      </w:r>
      <w:r>
        <w:rPr>
          <w:rFonts w:hint="eastAsia" w:ascii="仿宋_GB2312" w:eastAsia="仿宋_GB2312"/>
          <w:sz w:val="28"/>
          <w:szCs w:val="28"/>
          <w:highlight w:val="none"/>
        </w:rPr>
        <w:t>境</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外学历（位）以教育部学历（位）认证部门出具的认证报告为准。</w:t>
      </w:r>
    </w:p>
    <w:p>
      <w:pPr>
        <w:spacing w:line="360" w:lineRule="auto"/>
        <w:ind w:firstLine="562" w:firstLineChars="200"/>
        <w:outlineLvl w:val="1"/>
        <w:rPr>
          <w:rFonts w:ascii="楷体" w:hAnsi="楷体" w:eastAsia="楷体"/>
          <w:b/>
          <w:sz w:val="28"/>
          <w:szCs w:val="28"/>
          <w:highlight w:val="none"/>
        </w:rPr>
      </w:pPr>
      <w:bookmarkStart w:id="61" w:name="_Toc11405"/>
      <w:bookmarkStart w:id="62" w:name="_Toc23278"/>
      <w:bookmarkStart w:id="63" w:name="_Toc17444"/>
      <w:r>
        <w:rPr>
          <w:rFonts w:hint="eastAsia" w:ascii="楷体" w:hAnsi="楷体" w:eastAsia="楷体"/>
          <w:b/>
          <w:sz w:val="28"/>
          <w:szCs w:val="28"/>
          <w:highlight w:val="none"/>
        </w:rPr>
        <w:t>（二）专业与学历（位）的对应关系</w:t>
      </w:r>
      <w:bookmarkEnd w:id="61"/>
      <w:bookmarkEnd w:id="62"/>
      <w:bookmarkEnd w:id="63"/>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岗位所需专业与报考者的毕业证书专业应当一致，</w:t>
      </w:r>
      <w:r>
        <w:rPr>
          <w:rFonts w:hint="eastAsia" w:ascii="仿宋_GB2312" w:eastAsia="仿宋_GB2312"/>
          <w:sz w:val="28"/>
          <w:szCs w:val="28"/>
          <w:highlight w:val="none"/>
        </w:rPr>
        <w:t>岗位资格条件要求的学历(位)</w:t>
      </w:r>
      <w:r>
        <w:rPr>
          <w:rFonts w:hint="eastAsia" w:ascii="仿宋_GB2312" w:eastAsia="仿宋_GB2312"/>
          <w:sz w:val="28"/>
          <w:szCs w:val="28"/>
          <w:highlight w:val="none"/>
          <w:lang w:eastAsia="zh-CN"/>
        </w:rPr>
        <w:t>原则上</w:t>
      </w:r>
      <w:r>
        <w:rPr>
          <w:rFonts w:hint="eastAsia" w:ascii="仿宋_GB2312" w:eastAsia="仿宋_GB2312"/>
          <w:sz w:val="28"/>
          <w:szCs w:val="28"/>
          <w:highlight w:val="none"/>
        </w:rPr>
        <w:t>须为岗位所要求的专业对应的学历(位)及以上学历(位)</w:t>
      </w:r>
      <w:r>
        <w:rPr>
          <w:rFonts w:hint="eastAsia" w:ascii="仿宋_GB2312" w:eastAsia="仿宋_GB2312"/>
          <w:sz w:val="28"/>
          <w:szCs w:val="28"/>
          <w:highlight w:val="none"/>
          <w:lang w:eastAsia="zh-CN"/>
        </w:rPr>
        <w:t>，但</w:t>
      </w:r>
      <w:r>
        <w:rPr>
          <w:rFonts w:hint="eastAsia" w:ascii="仿宋_GB2312" w:eastAsia="仿宋_GB2312"/>
          <w:sz w:val="28"/>
          <w:szCs w:val="28"/>
          <w:highlight w:val="none"/>
        </w:rPr>
        <w:t>报考者如果已符合岗位资格条件中最低学历(位)要求而持有岗位专业要求的同级或更高级学历或学位的，也可报考。</w:t>
      </w:r>
    </w:p>
    <w:p>
      <w:pPr>
        <w:spacing w:line="360" w:lineRule="auto"/>
        <w:ind w:firstLine="562" w:firstLineChars="200"/>
        <w:outlineLvl w:val="1"/>
        <w:rPr>
          <w:rFonts w:ascii="楷体" w:hAnsi="楷体" w:eastAsia="楷体"/>
          <w:b/>
          <w:sz w:val="28"/>
          <w:szCs w:val="28"/>
          <w:highlight w:val="none"/>
        </w:rPr>
      </w:pPr>
      <w:bookmarkStart w:id="64" w:name="_Toc23984"/>
      <w:bookmarkStart w:id="65" w:name="_Toc5687"/>
      <w:bookmarkStart w:id="66" w:name="_Toc18635"/>
      <w:r>
        <w:rPr>
          <w:rFonts w:hint="eastAsia" w:ascii="楷体" w:hAnsi="楷体" w:eastAsia="楷体"/>
          <w:b/>
          <w:sz w:val="28"/>
          <w:szCs w:val="28"/>
          <w:highlight w:val="none"/>
        </w:rPr>
        <w:t>（三）专业资格的认定</w:t>
      </w:r>
      <w:bookmarkEnd w:id="64"/>
      <w:bookmarkEnd w:id="65"/>
      <w:bookmarkEnd w:id="6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将专业条件设置为“××类”的招聘岗位，报考者所学专业须符合《专业指导目录》中“××类”下所列专业；将专业条件设置为具体专业名称的，报考者所学专业须符合所列专业。</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pPr>
        <w:numPr>
          <w:ilvl w:val="0"/>
          <w:numId w:val="4"/>
        </w:numPr>
        <w:spacing w:line="360" w:lineRule="auto"/>
        <w:ind w:firstLine="562" w:firstLineChars="200"/>
        <w:outlineLvl w:val="0"/>
        <w:rPr>
          <w:rFonts w:ascii="黑体" w:hAnsi="黑体" w:eastAsia="黑体"/>
          <w:b/>
          <w:bCs/>
          <w:sz w:val="28"/>
          <w:szCs w:val="28"/>
          <w:highlight w:val="none"/>
        </w:rPr>
      </w:pPr>
      <w:bookmarkStart w:id="67" w:name="_Toc24401"/>
      <w:bookmarkStart w:id="68" w:name="_Toc16464"/>
      <w:bookmarkStart w:id="69" w:name="_Toc28105"/>
      <w:r>
        <w:rPr>
          <w:rFonts w:hint="eastAsia" w:ascii="黑体" w:hAnsi="黑体" w:eastAsia="黑体"/>
          <w:b/>
          <w:bCs/>
          <w:sz w:val="28"/>
          <w:szCs w:val="28"/>
          <w:highlight w:val="none"/>
        </w:rPr>
        <w:t>开考比例</w:t>
      </w:r>
      <w:bookmarkEnd w:id="67"/>
      <w:bookmarkEnd w:id="68"/>
      <w:bookmarkEnd w:id="69"/>
    </w:p>
    <w:p>
      <w:pPr>
        <w:spacing w:line="360" w:lineRule="auto"/>
        <w:ind w:firstLine="560" w:firstLineChars="200"/>
        <w:rPr>
          <w:rFonts w:ascii="仿宋_GB2312" w:eastAsia="仿宋_GB2312"/>
          <w:sz w:val="28"/>
          <w:szCs w:val="28"/>
          <w:highlight w:val="none"/>
        </w:rPr>
      </w:pPr>
      <w:r>
        <w:rPr>
          <w:rFonts w:hint="eastAsia" w:ascii="仿宋_GB2312" w:hAnsi="仿宋" w:eastAsia="仿宋_GB2312"/>
          <w:sz w:val="28"/>
          <w:szCs w:val="28"/>
          <w:highlight w:val="none"/>
        </w:rPr>
        <w:t>符合岗位资格条件的报名人数与岗位拟招聘人数的比例达不到3:1的，原则上取消开考。取消开考</w:t>
      </w:r>
      <w:bookmarkStart w:id="114" w:name="_GoBack"/>
      <w:bookmarkEnd w:id="114"/>
      <w:r>
        <w:rPr>
          <w:rFonts w:hint="eastAsia" w:ascii="仿宋_GB2312" w:hAnsi="仿宋" w:eastAsia="仿宋_GB2312"/>
          <w:sz w:val="28"/>
          <w:szCs w:val="28"/>
          <w:highlight w:val="none"/>
        </w:rPr>
        <w:t>、降低开考比例的岗位，由招聘单位于报名结束后，根据报名、岗位需求等情况研究决定后在“集美区政府官方网站政府公告栏(http://www.jimei.gov.cn/zfgg/)”另行公告。取消开考岗位的报考考生同时失去本次考试的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70" w:name="_Toc17055"/>
      <w:bookmarkStart w:id="71" w:name="_Toc17207"/>
      <w:bookmarkStart w:id="72" w:name="_Toc4597"/>
      <w:r>
        <w:rPr>
          <w:rFonts w:hint="eastAsia" w:ascii="黑体" w:hAnsi="黑体" w:eastAsia="黑体"/>
          <w:b/>
          <w:bCs/>
          <w:sz w:val="28"/>
          <w:szCs w:val="28"/>
          <w:highlight w:val="none"/>
        </w:rPr>
        <w:t>综合成绩计算</w:t>
      </w:r>
      <w:bookmarkEnd w:id="70"/>
      <w:bookmarkEnd w:id="71"/>
      <w:bookmarkEnd w:id="72"/>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综合成绩合格线为60分，综合成绩=笔试成绩×50%+面试成绩×50%。</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笔试成绩、面试成绩、综合成绩均采用四舍五入方式取小数点后2位（必要时可增加小数点位数）。对于综合成绩相同者，按以下顺序进一步确定名次排列：</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（一）按笔试成绩从高到低排列；</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4"/>
        </w:numPr>
        <w:spacing w:line="360" w:lineRule="auto"/>
        <w:ind w:firstLine="562" w:firstLineChars="200"/>
        <w:outlineLvl w:val="0"/>
        <w:rPr>
          <w:rFonts w:ascii="黑体" w:hAnsi="黑体" w:eastAsia="黑体"/>
          <w:b/>
          <w:bCs/>
          <w:sz w:val="28"/>
          <w:szCs w:val="28"/>
          <w:highlight w:val="none"/>
        </w:rPr>
      </w:pPr>
      <w:bookmarkStart w:id="73" w:name="_Toc8877"/>
      <w:bookmarkStart w:id="74" w:name="_Toc22870"/>
      <w:bookmarkStart w:id="75" w:name="_Toc21391"/>
      <w:r>
        <w:rPr>
          <w:rFonts w:hint="eastAsia" w:ascii="黑体" w:hAnsi="黑体" w:eastAsia="黑体"/>
          <w:b/>
          <w:bCs/>
          <w:sz w:val="28"/>
          <w:szCs w:val="28"/>
          <w:highlight w:val="none"/>
        </w:rPr>
        <w:t>体检和考察</w:t>
      </w:r>
      <w:bookmarkEnd w:id="73"/>
      <w:bookmarkEnd w:id="74"/>
      <w:bookmarkEnd w:id="75"/>
    </w:p>
    <w:p>
      <w:pPr>
        <w:spacing w:line="360" w:lineRule="auto"/>
        <w:ind w:firstLine="562" w:firstLineChars="200"/>
        <w:outlineLvl w:val="1"/>
        <w:rPr>
          <w:rFonts w:ascii="楷体" w:hAnsi="楷体" w:eastAsia="楷体"/>
          <w:b/>
          <w:sz w:val="28"/>
          <w:szCs w:val="28"/>
          <w:highlight w:val="none"/>
        </w:rPr>
      </w:pPr>
      <w:bookmarkStart w:id="76" w:name="_Toc30296"/>
      <w:bookmarkStart w:id="77" w:name="_Toc5905"/>
      <w:bookmarkStart w:id="78" w:name="_Toc21315"/>
      <w:r>
        <w:rPr>
          <w:rFonts w:hint="eastAsia" w:ascii="楷体" w:hAnsi="楷体" w:eastAsia="楷体"/>
          <w:b/>
          <w:sz w:val="28"/>
          <w:szCs w:val="28"/>
          <w:highlight w:val="none"/>
        </w:rPr>
        <w:t>（一）确定体检和考察人选</w:t>
      </w:r>
      <w:bookmarkEnd w:id="76"/>
      <w:bookmarkEnd w:id="77"/>
      <w:bookmarkEnd w:id="78"/>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从笔试成绩和面试成绩均合格者中，根据综合成绩排名顺序，按岗位拟招聘人数1:1的比例从高分至低分确定体检和考察人选。</w:t>
      </w:r>
    </w:p>
    <w:p>
      <w:pPr>
        <w:spacing w:line="360" w:lineRule="auto"/>
        <w:ind w:firstLine="562" w:firstLineChars="200"/>
        <w:outlineLvl w:val="1"/>
        <w:rPr>
          <w:rFonts w:ascii="楷体" w:hAnsi="楷体" w:eastAsia="楷体"/>
          <w:b/>
          <w:sz w:val="28"/>
          <w:szCs w:val="28"/>
          <w:highlight w:val="none"/>
        </w:rPr>
      </w:pPr>
      <w:bookmarkStart w:id="79" w:name="_Toc18930"/>
      <w:bookmarkStart w:id="80" w:name="_Toc11341"/>
      <w:bookmarkStart w:id="81" w:name="_Toc28632"/>
      <w:r>
        <w:rPr>
          <w:rFonts w:hint="eastAsia" w:ascii="楷体" w:hAnsi="楷体" w:eastAsia="楷体"/>
          <w:b/>
          <w:sz w:val="28"/>
          <w:szCs w:val="28"/>
          <w:highlight w:val="none"/>
        </w:rPr>
        <w:t>（二）组织体检和考察</w:t>
      </w:r>
      <w:bookmarkEnd w:id="79"/>
      <w:bookmarkEnd w:id="80"/>
      <w:bookmarkEnd w:id="81"/>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体检和考察由招聘单位负责组织实施。体检人员应根据通知按时参加并配合体检，否则，视为放弃资格。</w:t>
      </w:r>
    </w:p>
    <w:p>
      <w:pPr>
        <w:spacing w:line="360" w:lineRule="auto"/>
        <w:ind w:firstLine="562" w:firstLineChars="200"/>
        <w:outlineLvl w:val="1"/>
        <w:rPr>
          <w:rFonts w:ascii="楷体" w:hAnsi="楷体" w:eastAsia="楷体"/>
          <w:b/>
          <w:sz w:val="28"/>
          <w:szCs w:val="28"/>
          <w:highlight w:val="none"/>
        </w:rPr>
      </w:pPr>
      <w:bookmarkStart w:id="82" w:name="_Toc14541"/>
      <w:bookmarkStart w:id="83" w:name="_Toc28717"/>
      <w:bookmarkStart w:id="84" w:name="_Toc7291"/>
      <w:r>
        <w:rPr>
          <w:rFonts w:hint="eastAsia" w:ascii="楷体" w:hAnsi="楷体" w:eastAsia="楷体"/>
          <w:b/>
          <w:sz w:val="28"/>
          <w:szCs w:val="28"/>
          <w:highlight w:val="none"/>
        </w:rPr>
        <w:t>（三）体检依据</w:t>
      </w:r>
      <w:bookmarkEnd w:id="82"/>
      <w:bookmarkEnd w:id="83"/>
      <w:bookmarkEnd w:id="8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体（复）检费用个人自理。</w:t>
      </w:r>
    </w:p>
    <w:p>
      <w:pPr>
        <w:spacing w:line="360" w:lineRule="auto"/>
        <w:ind w:firstLine="562" w:firstLineChars="200"/>
        <w:outlineLvl w:val="1"/>
        <w:rPr>
          <w:rFonts w:ascii="楷体" w:hAnsi="楷体" w:eastAsia="楷体"/>
          <w:b/>
          <w:sz w:val="28"/>
          <w:szCs w:val="28"/>
          <w:highlight w:val="none"/>
        </w:rPr>
      </w:pPr>
      <w:bookmarkStart w:id="85" w:name="_Toc3395"/>
      <w:bookmarkStart w:id="86" w:name="_Toc20814"/>
      <w:bookmarkStart w:id="87" w:name="_Toc27783"/>
      <w:r>
        <w:rPr>
          <w:rFonts w:hint="eastAsia" w:ascii="楷体" w:hAnsi="楷体" w:eastAsia="楷体"/>
          <w:b/>
          <w:sz w:val="28"/>
          <w:szCs w:val="28"/>
          <w:highlight w:val="none"/>
        </w:rPr>
        <w:t>（四）体检复检</w:t>
      </w:r>
      <w:bookmarkEnd w:id="85"/>
      <w:bookmarkEnd w:id="86"/>
      <w:bookmarkEnd w:id="87"/>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复检参照人力资源社会保障部、卫生部、国家公务员《关于进一步做好公务员考试录用体检工作的通知》(人社部发〔2012〕65号)的有关规定执行，其中：</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 对心率、视力、听力、血压等项目达不到体检合格标准的，安排当日复检；对边缘性心脏杂音、病理性心电图、病理性杂音、频发早搏（心电图证实）等项目达不到体检合格标准的，安排当场复检。</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3.组织体检单位对体检结论有疑问的，在接到体检结论通知之日起7日内决定是否进行复检。</w:t>
      </w:r>
    </w:p>
    <w:p>
      <w:pPr>
        <w:spacing w:line="360" w:lineRule="auto"/>
        <w:ind w:firstLine="562" w:firstLineChars="200"/>
        <w:outlineLvl w:val="1"/>
        <w:rPr>
          <w:rFonts w:ascii="楷体" w:hAnsi="楷体" w:eastAsia="楷体"/>
          <w:b/>
          <w:sz w:val="28"/>
          <w:szCs w:val="28"/>
          <w:highlight w:val="none"/>
        </w:rPr>
      </w:pPr>
      <w:bookmarkStart w:id="88" w:name="_Toc28173"/>
      <w:bookmarkStart w:id="89" w:name="_Toc31997"/>
      <w:bookmarkStart w:id="90" w:name="_Toc19514"/>
      <w:r>
        <w:rPr>
          <w:rFonts w:hint="eastAsia" w:ascii="楷体" w:hAnsi="楷体" w:eastAsia="楷体"/>
          <w:b/>
          <w:sz w:val="28"/>
          <w:szCs w:val="28"/>
          <w:highlight w:val="none"/>
        </w:rPr>
        <w:t>（五）可延迟体检的情形</w:t>
      </w:r>
      <w:bookmarkEnd w:id="88"/>
      <w:bookmarkEnd w:id="89"/>
      <w:bookmarkEnd w:id="90"/>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女性报考者因怀孕、哺乳期需申请延期体检的，应提供相应的医学证明并与组织体检单位约定延缓体检的合理期限。</w:t>
      </w:r>
    </w:p>
    <w:p>
      <w:pPr>
        <w:spacing w:line="360" w:lineRule="auto"/>
        <w:ind w:firstLine="562" w:firstLineChars="200"/>
        <w:outlineLvl w:val="1"/>
        <w:rPr>
          <w:rFonts w:ascii="楷体" w:hAnsi="楷体" w:eastAsia="楷体"/>
          <w:b/>
          <w:sz w:val="28"/>
          <w:szCs w:val="28"/>
          <w:highlight w:val="none"/>
        </w:rPr>
      </w:pPr>
      <w:bookmarkStart w:id="91" w:name="_Toc2155"/>
      <w:bookmarkStart w:id="92" w:name="_Toc27942"/>
      <w:bookmarkStart w:id="93" w:name="_Toc3325"/>
      <w:r>
        <w:rPr>
          <w:rFonts w:hint="eastAsia" w:ascii="楷体" w:hAnsi="楷体" w:eastAsia="楷体"/>
          <w:b/>
          <w:sz w:val="28"/>
          <w:szCs w:val="28"/>
          <w:highlight w:val="none"/>
        </w:rPr>
        <w:t>（六）考察</w:t>
      </w:r>
      <w:bookmarkEnd w:id="91"/>
      <w:bookmarkEnd w:id="92"/>
      <w:bookmarkEnd w:id="93"/>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对体检合格的报考人员，由招聘单位组织对其政治思想、道德品质、廉洁自律、能力素质、工作态度、学习及工作表现以及是否需要回避等内容进行考察，并对报考人员资格条件再次进行审核。 </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4" w:name="_Toc7724"/>
      <w:bookmarkStart w:id="95" w:name="_Toc28661"/>
      <w:bookmarkStart w:id="96" w:name="_Toc3577"/>
      <w:r>
        <w:rPr>
          <w:rFonts w:hint="eastAsia" w:ascii="黑体" w:hAnsi="黑体" w:eastAsia="黑体"/>
          <w:b/>
          <w:bCs/>
          <w:sz w:val="28"/>
          <w:szCs w:val="28"/>
          <w:highlight w:val="none"/>
        </w:rPr>
        <w:t>拟录用公示</w:t>
      </w:r>
      <w:bookmarkEnd w:id="94"/>
      <w:bookmarkEnd w:id="95"/>
      <w:bookmarkEnd w:id="9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根据岗位要求以及考试、体检、考察结果，确定拟录用人员名单，并在集美区政府官方网站政府公告栏上 (</w:t>
      </w:r>
      <w:r>
        <w:rPr>
          <w:highlight w:val="none"/>
        </w:rPr>
        <w:fldChar w:fldCharType="begin"/>
      </w:r>
      <w:r>
        <w:rPr>
          <w:highlight w:val="none"/>
        </w:rPr>
        <w:instrText xml:space="preserve"> HYPERLINK "http://www.jimei.gov.cn/zfgg/" </w:instrText>
      </w:r>
      <w:r>
        <w:rPr>
          <w:highlight w:val="none"/>
        </w:rPr>
        <w:fldChar w:fldCharType="separate"/>
      </w:r>
      <w:r>
        <w:rPr>
          <w:rFonts w:hint="eastAsia" w:ascii="仿宋_GB2312" w:eastAsia="仿宋_GB2312"/>
          <w:sz w:val="28"/>
          <w:szCs w:val="28"/>
          <w:highlight w:val="none"/>
        </w:rPr>
        <w:t>http://www.jimei.gov.cn/zfgg/</w:t>
      </w:r>
      <w:r>
        <w:rPr>
          <w:rFonts w:hint="eastAsia" w:ascii="仿宋_GB2312" w:eastAsia="仿宋_GB2312"/>
          <w:sz w:val="28"/>
          <w:szCs w:val="28"/>
          <w:highlight w:val="none"/>
        </w:rPr>
        <w:fldChar w:fldCharType="end"/>
      </w:r>
      <w:r>
        <w:rPr>
          <w:rFonts w:hint="eastAsia" w:ascii="仿宋_GB2312" w:eastAsia="仿宋_GB2312"/>
          <w:sz w:val="28"/>
          <w:szCs w:val="28"/>
          <w:highlight w:val="none"/>
        </w:rPr>
        <w:t>)公示7日。公示内容包括招聘单位名称、招聘岗位、拟录用人员基本信息等。</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7" w:name="_Toc10588"/>
      <w:bookmarkStart w:id="98" w:name="_Toc14022"/>
      <w:r>
        <w:rPr>
          <w:rFonts w:hint="eastAsia" w:ascii="黑体" w:hAnsi="黑体" w:eastAsia="黑体"/>
          <w:b/>
          <w:bCs/>
          <w:sz w:val="28"/>
          <w:szCs w:val="28"/>
          <w:highlight w:val="none"/>
        </w:rPr>
        <w:t>录用</w:t>
      </w:r>
      <w:bookmarkEnd w:id="97"/>
      <w:bookmarkEnd w:id="98"/>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公示结果无异议，或经招聘单位核实不影响录用的，拟录人员应于公示期满后3个月内提供办理录用手续所需的材料（含个人人事档案），因情况确实特殊、无法在上述期限内提供完备资料的，与招聘单位协商同意并书面承诺后可适当延长材料提交时限（延长时限原则上不超过2个月），否则视为放弃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9" w:name="_Toc22591"/>
      <w:bookmarkStart w:id="100" w:name="_Toc15614"/>
      <w:bookmarkStart w:id="101" w:name="_Toc24610"/>
      <w:r>
        <w:rPr>
          <w:rFonts w:hint="eastAsia" w:ascii="黑体" w:hAnsi="黑体" w:eastAsia="黑体"/>
          <w:b/>
          <w:bCs/>
          <w:sz w:val="28"/>
          <w:szCs w:val="28"/>
          <w:highlight w:val="none"/>
        </w:rPr>
        <w:t>其他事项</w:t>
      </w:r>
      <w:bookmarkEnd w:id="99"/>
      <w:bookmarkEnd w:id="100"/>
      <w:bookmarkEnd w:id="101"/>
    </w:p>
    <w:p>
      <w:pPr>
        <w:numPr>
          <w:ilvl w:val="0"/>
          <w:numId w:val="6"/>
        </w:numPr>
        <w:spacing w:line="360" w:lineRule="auto"/>
        <w:outlineLvl w:val="1"/>
        <w:rPr>
          <w:rFonts w:ascii="仿宋_GB2312" w:eastAsia="仿宋_GB2312"/>
          <w:b/>
          <w:sz w:val="28"/>
          <w:szCs w:val="28"/>
          <w:highlight w:val="none"/>
        </w:rPr>
      </w:pPr>
      <w:bookmarkStart w:id="102" w:name="_Toc6943"/>
      <w:bookmarkStart w:id="103" w:name="_Toc14657"/>
      <w:bookmarkStart w:id="104" w:name="_Toc299"/>
      <w:r>
        <w:rPr>
          <w:rFonts w:hint="eastAsia" w:ascii="楷体" w:hAnsi="楷体" w:eastAsia="楷体"/>
          <w:b/>
          <w:sz w:val="28"/>
          <w:szCs w:val="28"/>
          <w:highlight w:val="none"/>
        </w:rPr>
        <w:t>全日制普通教育</w:t>
      </w:r>
      <w:bookmarkEnd w:id="102"/>
      <w:bookmarkEnd w:id="103"/>
      <w:bookmarkEnd w:id="10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z w:val="28"/>
          <w:szCs w:val="28"/>
          <w:highlight w:val="none"/>
        </w:rPr>
        <w:t>入学时将档案关系转到就读学校、</w:t>
      </w:r>
      <w:r>
        <w:rPr>
          <w:rFonts w:hint="eastAsia" w:ascii="仿宋_GB2312" w:eastAsia="仿宋_GB2312"/>
          <w:sz w:val="28"/>
          <w:szCs w:val="28"/>
          <w:highlight w:val="none"/>
        </w:rPr>
        <w:t>按教学计划完成该学业、取得国家承认的学历。</w:t>
      </w:r>
    </w:p>
    <w:p>
      <w:pPr>
        <w:numPr>
          <w:ilvl w:val="0"/>
          <w:numId w:val="6"/>
        </w:numPr>
        <w:spacing w:line="360" w:lineRule="auto"/>
        <w:outlineLvl w:val="1"/>
        <w:rPr>
          <w:rFonts w:ascii="仿宋_GB2312" w:eastAsia="仿宋_GB2312"/>
          <w:b/>
          <w:sz w:val="28"/>
          <w:szCs w:val="28"/>
          <w:highlight w:val="none"/>
        </w:rPr>
      </w:pPr>
      <w:bookmarkStart w:id="105" w:name="_Toc7703"/>
      <w:bookmarkStart w:id="106" w:name="_Toc9901"/>
      <w:bookmarkStart w:id="107" w:name="_Toc26133"/>
      <w:r>
        <w:rPr>
          <w:rFonts w:hint="eastAsia" w:ascii="楷体" w:hAnsi="楷体" w:eastAsia="楷体"/>
          <w:b/>
          <w:sz w:val="28"/>
          <w:szCs w:val="28"/>
          <w:highlight w:val="none"/>
        </w:rPr>
        <w:t>生源</w:t>
      </w:r>
      <w:bookmarkEnd w:id="105"/>
      <w:bookmarkEnd w:id="106"/>
      <w:bookmarkEnd w:id="107"/>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生源地为参加全国统一的普通高等学校招生考试时的户籍所在地。</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1.入学前户籍在厦门市但学籍不在厦门市的普通教育全日制毕业生；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2.入学前户籍和学籍虽不在厦门市，但本次公开招聘报名截止日前父母或配偶有一方户籍在厦门市的普通教育全日制202</w:t>
      </w:r>
      <w:r>
        <w:rPr>
          <w:rFonts w:hint="eastAsia" w:ascii="仿宋_GB2312" w:eastAsia="仿宋_GB2312"/>
          <w:sz w:val="28"/>
          <w:szCs w:val="28"/>
          <w:highlight w:val="none"/>
          <w:lang w:val="en-US" w:eastAsia="zh-CN"/>
        </w:rPr>
        <w:t>2年</w:t>
      </w:r>
      <w:r>
        <w:rPr>
          <w:rFonts w:hint="eastAsia" w:ascii="仿宋_GB2312" w:eastAsia="仿宋_GB2312"/>
          <w:sz w:val="28"/>
          <w:szCs w:val="28"/>
          <w:highlight w:val="none"/>
        </w:rPr>
        <w:t>应届毕业生；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3.根据厦府办〔2011〕229号文规定来我市就读普通高中且将户籍迁入我市的外来学生，普通高中毕业后从我市考入普通高等院校的全日制普通教育毕业生。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福建生源类推界定。</w:t>
      </w:r>
    </w:p>
    <w:p>
      <w:pPr>
        <w:numPr>
          <w:ilvl w:val="0"/>
          <w:numId w:val="6"/>
        </w:numPr>
        <w:spacing w:line="360" w:lineRule="auto"/>
        <w:outlineLvl w:val="1"/>
        <w:rPr>
          <w:rFonts w:ascii="仿宋_GB2312" w:eastAsia="仿宋_GB2312"/>
          <w:b/>
          <w:sz w:val="28"/>
          <w:szCs w:val="28"/>
          <w:highlight w:val="none"/>
        </w:rPr>
      </w:pPr>
      <w:bookmarkStart w:id="108" w:name="_Toc18785"/>
      <w:bookmarkStart w:id="109" w:name="_Toc30653"/>
      <w:bookmarkStart w:id="110" w:name="_Toc19248"/>
      <w:r>
        <w:rPr>
          <w:rFonts w:hint="eastAsia" w:ascii="楷体" w:hAnsi="楷体" w:eastAsia="楷体"/>
          <w:b/>
          <w:sz w:val="28"/>
          <w:szCs w:val="28"/>
          <w:highlight w:val="none"/>
        </w:rPr>
        <w:t>港澳台人员</w:t>
      </w:r>
      <w:bookmarkEnd w:id="108"/>
      <w:bookmarkEnd w:id="109"/>
      <w:bookmarkEnd w:id="110"/>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港澳台人员（不得持有外国籍）的招聘，按照国家、省和我市有关规定办理。</w:t>
      </w:r>
    </w:p>
    <w:p>
      <w:pPr>
        <w:numPr>
          <w:ilvl w:val="0"/>
          <w:numId w:val="4"/>
        </w:numPr>
        <w:spacing w:line="360" w:lineRule="auto"/>
        <w:ind w:firstLine="562" w:firstLineChars="200"/>
        <w:outlineLvl w:val="0"/>
        <w:rPr>
          <w:rFonts w:ascii="黑体" w:hAnsi="黑体" w:eastAsia="黑体"/>
          <w:b/>
          <w:bCs/>
          <w:sz w:val="28"/>
          <w:szCs w:val="28"/>
          <w:highlight w:val="none"/>
        </w:rPr>
      </w:pPr>
      <w:bookmarkStart w:id="111" w:name="_Toc12964"/>
      <w:bookmarkStart w:id="112" w:name="_Toc13200"/>
      <w:bookmarkStart w:id="113" w:name="_Toc3114"/>
      <w:r>
        <w:rPr>
          <w:rFonts w:hint="eastAsia" w:ascii="黑体" w:hAnsi="黑体" w:eastAsia="黑体"/>
          <w:b/>
          <w:bCs/>
          <w:sz w:val="28"/>
          <w:szCs w:val="28"/>
          <w:highlight w:val="none"/>
        </w:rPr>
        <w:t>疫情防控要求</w:t>
      </w:r>
      <w:bookmarkEnd w:id="111"/>
      <w:bookmarkEnd w:id="112"/>
      <w:bookmarkEnd w:id="113"/>
    </w:p>
    <w:p>
      <w:pPr>
        <w:spacing w:line="360" w:lineRule="auto"/>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疫情防控要求贯穿本次招聘全程，将严格按照厦门市应对新冠肺炎疫情工作指挥部</w:t>
      </w:r>
      <w:r>
        <w:rPr>
          <w:rFonts w:hint="eastAsia" w:ascii="仿宋_GB2312" w:eastAsia="仿宋_GB2312"/>
          <w:sz w:val="28"/>
          <w:szCs w:val="28"/>
          <w:highlight w:val="none"/>
          <w:lang w:eastAsia="zh-CN"/>
        </w:rPr>
        <w:t>最新</w:t>
      </w:r>
      <w:r>
        <w:rPr>
          <w:rFonts w:hint="eastAsia" w:ascii="仿宋_GB2312" w:eastAsia="仿宋_GB2312"/>
          <w:sz w:val="28"/>
          <w:szCs w:val="28"/>
          <w:highlight w:val="none"/>
        </w:rPr>
        <w:t>部署，严密落实新冠肺炎疫情防控要求，考生务必遵照疫情防控要求，提前做好行程规划，以免错失考试资格。</w:t>
      </w:r>
      <w:r>
        <w:rPr>
          <w:rFonts w:hint="eastAsia" w:ascii="仿宋_GB2312" w:eastAsia="仿宋_GB2312"/>
          <w:sz w:val="28"/>
          <w:szCs w:val="28"/>
          <w:highlight w:val="none"/>
          <w:lang w:eastAsia="zh-CN"/>
        </w:rPr>
        <w:t>本简章发布之日起至招聘结束，如境内新增中高风险地区，从境内中高风险地区、国（境）外地区来厦的，按我市疫情防控规定执行。</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招聘疫情防控要求请及时关注</w:t>
      </w:r>
      <w:r>
        <w:rPr>
          <w:rFonts w:hint="eastAsia" w:ascii="仿宋_GB2312" w:hAnsi="仿宋" w:eastAsia="仿宋_GB2312"/>
          <w:sz w:val="28"/>
          <w:szCs w:val="28"/>
          <w:highlight w:val="none"/>
        </w:rPr>
        <w:t>“集美区政府官方网站政府公告栏(http://www.jimei.gov.cn/zfgg/)”</w:t>
      </w:r>
      <w:r>
        <w:rPr>
          <w:rFonts w:hint="eastAsia" w:ascii="仿宋_GB2312" w:eastAsia="仿宋_GB2312"/>
          <w:sz w:val="28"/>
          <w:szCs w:val="28"/>
          <w:highlight w:val="none"/>
          <w:lang w:eastAsia="zh-CN"/>
        </w:rPr>
        <w:t>相关通知。必要时或有疑问，</w:t>
      </w:r>
      <w:r>
        <w:rPr>
          <w:rFonts w:hint="eastAsia" w:ascii="仿宋_GB2312" w:eastAsia="仿宋_GB2312"/>
          <w:sz w:val="28"/>
          <w:szCs w:val="28"/>
          <w:highlight w:val="none"/>
        </w:rPr>
        <w:t>请拨打咨询专线0592-3279055获知相关政策信息</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瞒报、谎报、不履行相关承诺人员将承担法律责任。</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次招聘工作在组织实施全过程中，将按照新冠肺炎疫情防控有关要求，严格落实防疫措施，必要时如须对有关考试安排进行适当调整，将及时在“集美区政府官方网站政府公告栏”中通知。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sectPr>
      <w:footerReference r:id="rId4" w:type="default"/>
      <w:pgSz w:w="11906" w:h="16838"/>
      <w:pgMar w:top="1440" w:right="1689" w:bottom="1440" w:left="1689" w:header="851" w:footer="992" w:gutter="0"/>
      <w:pgNumType w:start="3"/>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434881"/>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D00E3F57"/>
    <w:multiLevelType w:val="singleLevel"/>
    <w:tmpl w:val="D00E3F57"/>
    <w:lvl w:ilvl="0" w:tentative="0">
      <w:start w:val="1"/>
      <w:numFmt w:val="chineseCounting"/>
      <w:suff w:val="nothing"/>
      <w:lvlText w:val="（%1）"/>
      <w:lvlJc w:val="left"/>
      <w:rPr>
        <w:rFonts w:hint="eastAsia"/>
      </w:rPr>
    </w:lvl>
  </w:abstractNum>
  <w:abstractNum w:abstractNumId="2">
    <w:nsid w:val="DDA54155"/>
    <w:multiLevelType w:val="singleLevel"/>
    <w:tmpl w:val="DDA54155"/>
    <w:lvl w:ilvl="0" w:tentative="0">
      <w:start w:val="4"/>
      <w:numFmt w:val="chineseCounting"/>
      <w:suff w:val="nothing"/>
      <w:lvlText w:val="%1、"/>
      <w:lvlJc w:val="left"/>
      <w:rPr>
        <w:rFonts w:hint="eastAsia"/>
      </w:rPr>
    </w:lvl>
  </w:abstractNum>
  <w:abstractNum w:abstractNumId="3">
    <w:nsid w:val="49A66663"/>
    <w:multiLevelType w:val="singleLevel"/>
    <w:tmpl w:val="49A66663"/>
    <w:lvl w:ilvl="0" w:tentative="0">
      <w:start w:val="1"/>
      <w:numFmt w:val="chineseCounting"/>
      <w:suff w:val="nothing"/>
      <w:lvlText w:val="（%1）"/>
      <w:lvlJc w:val="left"/>
      <w:rPr>
        <w:rFonts w:hint="eastAsia"/>
      </w:rPr>
    </w:lvl>
  </w:abstractNum>
  <w:abstractNum w:abstractNumId="4">
    <w:nsid w:val="63CB2A77"/>
    <w:multiLevelType w:val="singleLevel"/>
    <w:tmpl w:val="63CB2A77"/>
    <w:lvl w:ilvl="0" w:tentative="0">
      <w:start w:val="1"/>
      <w:numFmt w:val="chineseCounting"/>
      <w:suff w:val="nothing"/>
      <w:lvlText w:val="（%1）"/>
      <w:lvlJc w:val="left"/>
      <w:pPr>
        <w:ind w:left="0" w:firstLine="420"/>
      </w:pPr>
      <w:rPr>
        <w:rFonts w:hint="eastAsia"/>
      </w:rPr>
    </w:lvl>
  </w:abstractNum>
  <w:abstractNum w:abstractNumId="5">
    <w:nsid w:val="6DCB4CBE"/>
    <w:multiLevelType w:val="singleLevel"/>
    <w:tmpl w:val="6DCB4CBE"/>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6"/>
    <w:rsid w:val="00003543"/>
    <w:rsid w:val="0007382C"/>
    <w:rsid w:val="00074BF4"/>
    <w:rsid w:val="00137BC5"/>
    <w:rsid w:val="0014786A"/>
    <w:rsid w:val="001720DC"/>
    <w:rsid w:val="0017732C"/>
    <w:rsid w:val="001942DA"/>
    <w:rsid w:val="00233613"/>
    <w:rsid w:val="00283FFF"/>
    <w:rsid w:val="0035464F"/>
    <w:rsid w:val="00383B61"/>
    <w:rsid w:val="0039564C"/>
    <w:rsid w:val="003C580B"/>
    <w:rsid w:val="003F2091"/>
    <w:rsid w:val="00402F6F"/>
    <w:rsid w:val="00413DE3"/>
    <w:rsid w:val="00445840"/>
    <w:rsid w:val="004A44AD"/>
    <w:rsid w:val="004C5541"/>
    <w:rsid w:val="00590A8B"/>
    <w:rsid w:val="005D6C68"/>
    <w:rsid w:val="00712334"/>
    <w:rsid w:val="00764782"/>
    <w:rsid w:val="0077002C"/>
    <w:rsid w:val="007C46DB"/>
    <w:rsid w:val="008F4E64"/>
    <w:rsid w:val="00952B25"/>
    <w:rsid w:val="00980A85"/>
    <w:rsid w:val="00990910"/>
    <w:rsid w:val="00A70D54"/>
    <w:rsid w:val="00AA508C"/>
    <w:rsid w:val="00B942D6"/>
    <w:rsid w:val="00C43898"/>
    <w:rsid w:val="00C51C1C"/>
    <w:rsid w:val="00CA3A16"/>
    <w:rsid w:val="00D360A7"/>
    <w:rsid w:val="00DB54FB"/>
    <w:rsid w:val="00DD18AB"/>
    <w:rsid w:val="00E501FF"/>
    <w:rsid w:val="012E4057"/>
    <w:rsid w:val="01706B3D"/>
    <w:rsid w:val="01B12C91"/>
    <w:rsid w:val="02395429"/>
    <w:rsid w:val="029C19EF"/>
    <w:rsid w:val="02AF79A2"/>
    <w:rsid w:val="02B963D8"/>
    <w:rsid w:val="030C2E78"/>
    <w:rsid w:val="03195891"/>
    <w:rsid w:val="0431644B"/>
    <w:rsid w:val="060D0DBE"/>
    <w:rsid w:val="063C65E5"/>
    <w:rsid w:val="06B534C8"/>
    <w:rsid w:val="07422A0E"/>
    <w:rsid w:val="0A2926EC"/>
    <w:rsid w:val="0A6E3771"/>
    <w:rsid w:val="0ABE0466"/>
    <w:rsid w:val="0C42075F"/>
    <w:rsid w:val="0C62192F"/>
    <w:rsid w:val="0C9537CF"/>
    <w:rsid w:val="0CFA7F8B"/>
    <w:rsid w:val="0EEC0086"/>
    <w:rsid w:val="0EFC1000"/>
    <w:rsid w:val="10D14AA9"/>
    <w:rsid w:val="10E06A90"/>
    <w:rsid w:val="11D50F5D"/>
    <w:rsid w:val="127C59E8"/>
    <w:rsid w:val="12B17B3E"/>
    <w:rsid w:val="137A7CA3"/>
    <w:rsid w:val="15714F96"/>
    <w:rsid w:val="15D95F9E"/>
    <w:rsid w:val="18DC4FBF"/>
    <w:rsid w:val="196D50C1"/>
    <w:rsid w:val="19A27AB8"/>
    <w:rsid w:val="1E381C14"/>
    <w:rsid w:val="1FAD1DE7"/>
    <w:rsid w:val="20D11DC7"/>
    <w:rsid w:val="2107136B"/>
    <w:rsid w:val="212E6965"/>
    <w:rsid w:val="21CD6AB5"/>
    <w:rsid w:val="21F41D88"/>
    <w:rsid w:val="23DA0315"/>
    <w:rsid w:val="24195B2C"/>
    <w:rsid w:val="242714D3"/>
    <w:rsid w:val="248C709C"/>
    <w:rsid w:val="25454C78"/>
    <w:rsid w:val="25B64A56"/>
    <w:rsid w:val="265F470D"/>
    <w:rsid w:val="26A01F5B"/>
    <w:rsid w:val="27434329"/>
    <w:rsid w:val="279024A5"/>
    <w:rsid w:val="28654F9C"/>
    <w:rsid w:val="29DC3048"/>
    <w:rsid w:val="2AB93EDB"/>
    <w:rsid w:val="2AD704AB"/>
    <w:rsid w:val="2D0A1C91"/>
    <w:rsid w:val="2D146264"/>
    <w:rsid w:val="2D1620D0"/>
    <w:rsid w:val="2D3D3232"/>
    <w:rsid w:val="2E10141D"/>
    <w:rsid w:val="2ED55ABF"/>
    <w:rsid w:val="2F2D2246"/>
    <w:rsid w:val="2F625217"/>
    <w:rsid w:val="2FF31FA0"/>
    <w:rsid w:val="330D7063"/>
    <w:rsid w:val="331D1B45"/>
    <w:rsid w:val="33856789"/>
    <w:rsid w:val="34054802"/>
    <w:rsid w:val="34171B12"/>
    <w:rsid w:val="344B248F"/>
    <w:rsid w:val="36254EF0"/>
    <w:rsid w:val="36433543"/>
    <w:rsid w:val="38A17E31"/>
    <w:rsid w:val="3A336788"/>
    <w:rsid w:val="3C5E7563"/>
    <w:rsid w:val="3CAA7142"/>
    <w:rsid w:val="3D3C6670"/>
    <w:rsid w:val="3D5926B2"/>
    <w:rsid w:val="3FE85DB4"/>
    <w:rsid w:val="431A4FDF"/>
    <w:rsid w:val="44A72413"/>
    <w:rsid w:val="45C66CF9"/>
    <w:rsid w:val="45D103AB"/>
    <w:rsid w:val="46DF3096"/>
    <w:rsid w:val="47240519"/>
    <w:rsid w:val="481815DE"/>
    <w:rsid w:val="4C9B4511"/>
    <w:rsid w:val="4D667BAF"/>
    <w:rsid w:val="4E073F0E"/>
    <w:rsid w:val="4E7F2DC3"/>
    <w:rsid w:val="4EBD7FB6"/>
    <w:rsid w:val="4EC918D2"/>
    <w:rsid w:val="4EE73456"/>
    <w:rsid w:val="50247421"/>
    <w:rsid w:val="50B679B6"/>
    <w:rsid w:val="53564D9D"/>
    <w:rsid w:val="540313D5"/>
    <w:rsid w:val="54EC7875"/>
    <w:rsid w:val="56BE477A"/>
    <w:rsid w:val="576F2D86"/>
    <w:rsid w:val="579E6CD9"/>
    <w:rsid w:val="5A551433"/>
    <w:rsid w:val="5A9340A0"/>
    <w:rsid w:val="5AAA10A0"/>
    <w:rsid w:val="5AD12093"/>
    <w:rsid w:val="5AE66B5F"/>
    <w:rsid w:val="5C033BC0"/>
    <w:rsid w:val="5C372B75"/>
    <w:rsid w:val="5C620362"/>
    <w:rsid w:val="5C976E58"/>
    <w:rsid w:val="5DFF4EA3"/>
    <w:rsid w:val="5F3A704F"/>
    <w:rsid w:val="600F7F8E"/>
    <w:rsid w:val="605C0E2C"/>
    <w:rsid w:val="62A047CB"/>
    <w:rsid w:val="633A3546"/>
    <w:rsid w:val="6529276A"/>
    <w:rsid w:val="65561D37"/>
    <w:rsid w:val="67587B68"/>
    <w:rsid w:val="6A1F5B15"/>
    <w:rsid w:val="6ACA2314"/>
    <w:rsid w:val="6BE172C8"/>
    <w:rsid w:val="6BE8147C"/>
    <w:rsid w:val="6D9912B9"/>
    <w:rsid w:val="6F122394"/>
    <w:rsid w:val="6FF90245"/>
    <w:rsid w:val="70C75929"/>
    <w:rsid w:val="70EA56E6"/>
    <w:rsid w:val="70EE53CD"/>
    <w:rsid w:val="713E4CC0"/>
    <w:rsid w:val="7156469D"/>
    <w:rsid w:val="736B2384"/>
    <w:rsid w:val="746F7336"/>
    <w:rsid w:val="747852FC"/>
    <w:rsid w:val="74987DD7"/>
    <w:rsid w:val="75B136C4"/>
    <w:rsid w:val="75CD167C"/>
    <w:rsid w:val="777506C5"/>
    <w:rsid w:val="77EC41DA"/>
    <w:rsid w:val="785B6B77"/>
    <w:rsid w:val="78E77648"/>
    <w:rsid w:val="796D3657"/>
    <w:rsid w:val="7A595755"/>
    <w:rsid w:val="7BA730A5"/>
    <w:rsid w:val="7D2B69F2"/>
    <w:rsid w:val="7DA302C5"/>
    <w:rsid w:val="7F526B1C"/>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annotation text"/>
    <w:basedOn w:val="1"/>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4"/>
    <w:basedOn w:val="1"/>
    <w:next w:val="1"/>
    <w:semiHidden/>
    <w:unhideWhenUsed/>
    <w:qFormat/>
    <w:uiPriority w:val="39"/>
    <w:pPr>
      <w:ind w:left="1260" w:leftChars="600"/>
    </w:pPr>
  </w:style>
  <w:style w:type="paragraph" w:styleId="12">
    <w:name w:val="toc 6"/>
    <w:basedOn w:val="1"/>
    <w:next w:val="1"/>
    <w:semiHidden/>
    <w:unhideWhenUsed/>
    <w:qFormat/>
    <w:uiPriority w:val="39"/>
    <w:pPr>
      <w:ind w:left="2100" w:leftChars="1000"/>
    </w:pPr>
  </w:style>
  <w:style w:type="paragraph" w:styleId="13">
    <w:name w:val="toc 2"/>
    <w:basedOn w:val="1"/>
    <w:next w:val="1"/>
    <w:semiHidden/>
    <w:unhideWhenUsed/>
    <w:qFormat/>
    <w:uiPriority w:val="39"/>
    <w:pPr>
      <w:ind w:left="420" w:leftChars="200"/>
    </w:pPr>
  </w:style>
  <w:style w:type="paragraph" w:styleId="14">
    <w:name w:val="toc 9"/>
    <w:basedOn w:val="1"/>
    <w:next w:val="1"/>
    <w:semiHidden/>
    <w:unhideWhenUsed/>
    <w:qFormat/>
    <w:uiPriority w:val="39"/>
    <w:pPr>
      <w:ind w:left="3360" w:leftChars="1600"/>
    </w:pPr>
  </w:style>
  <w:style w:type="character" w:styleId="16">
    <w:name w:val="Strong"/>
    <w:basedOn w:val="15"/>
    <w:qFormat/>
    <w:uiPriority w:val="22"/>
    <w:rPr>
      <w:b/>
      <w:bCs/>
    </w:rPr>
  </w:style>
  <w:style w:type="character" w:customStyle="1" w:styleId="18">
    <w:name w:val="页眉 字符"/>
    <w:basedOn w:val="15"/>
    <w:link w:val="9"/>
    <w:semiHidden/>
    <w:qFormat/>
    <w:uiPriority w:val="99"/>
    <w:rPr>
      <w:sz w:val="18"/>
      <w:szCs w:val="18"/>
    </w:rPr>
  </w:style>
  <w:style w:type="character" w:customStyle="1" w:styleId="19">
    <w:name w:val="页脚 字符"/>
    <w:basedOn w:val="15"/>
    <w:link w:val="8"/>
    <w:qFormat/>
    <w:uiPriority w:val="99"/>
    <w:rPr>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批注框文本 字符"/>
    <w:basedOn w:val="15"/>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E185A-15A1-453C-A9E9-75FAC8DC48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1341</Words>
  <Characters>7647</Characters>
  <Lines>63</Lines>
  <Paragraphs>17</Paragraphs>
  <TotalTime>8</TotalTime>
  <ScaleCrop>false</ScaleCrop>
  <LinksUpToDate>false</LinksUpToDate>
  <CharactersWithSpaces>8971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dell</dc:creator>
  <cp:lastModifiedBy>lzhy</cp:lastModifiedBy>
  <cp:lastPrinted>2020-11-04T03:50:00Z</cp:lastPrinted>
  <dcterms:modified xsi:type="dcterms:W3CDTF">2022-09-01T01:42:41Z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