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440"/>
        </w:tabs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附件４：</w:t>
      </w:r>
      <w:bookmarkStart w:id="0" w:name="_GoBack"/>
      <w:bookmarkEnd w:id="0"/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2254" w:hRule="atLeast"/>
        </w:trPr>
        <w:tc>
          <w:tcPr>
            <w:tcW w:w="20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rPr>
          <w:trHeight w:val="698" w:hRule="atLeast"/>
        </w:trPr>
        <w:tc>
          <w:tcPr>
            <w:tcW w:w="201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９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１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９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２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９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３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９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４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 Char"/>
    <w:basedOn w:val="6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眉 Char Char"/>
    <w:basedOn w:val="6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Char Char"/>
    <w:basedOn w:val="6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2021-11-23T09:49:00Z</cp:lastPrinted>
  <dcterms:modified xsi:type="dcterms:W3CDTF">2022-08-30T01:44:47Z</dcterms:modified>
  <dc:title> 2022年河南省“三支一扶”考生健康管理信息承诺书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F7F3925196904DC29185EDEE0BF50334</vt:lpwstr>
  </property>
</Properties>
</file>