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p>
    <w:p>
      <w:pPr>
        <w:spacing w:line="560" w:lineRule="exact"/>
        <w:jc w:val="center"/>
        <w:rPr>
          <w:rFonts w:ascii="方正小标宋简体" w:hAnsi="方正小标宋简体" w:eastAsia="方正小标宋简体" w:cs="方正小标宋简体"/>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在线测评操作须知</w:t>
      </w:r>
    </w:p>
    <w:p>
      <w:pPr>
        <w:spacing w:line="620" w:lineRule="exact"/>
        <w:ind w:firstLine="640" w:firstLineChars="200"/>
        <w:rPr>
          <w:rFonts w:ascii="仿宋" w:hAnsi="仿宋" w:eastAsia="仿宋" w:cs="仿宋"/>
          <w:bCs/>
          <w:color w:val="000000" w:themeColor="text1"/>
          <w:sz w:val="32"/>
          <w:szCs w:val="32"/>
          <w14:textFill>
            <w14:solidFill>
              <w14:schemeClr w14:val="tx1"/>
            </w14:solidFill>
          </w14:textFill>
        </w:rPr>
      </w:pP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为了保证本次在线测评顺利完成,请考生认真详读如下测评相关要求，并严格按照须知内容做好相关准备工作，确保在充分 理解并知晓操作流程后按时完成测评。</w:t>
      </w:r>
      <w:bookmarkStart w:id="5" w:name="_GoBack"/>
      <w:bookmarkEnd w:id="5"/>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测评前，系统将以短信、邮件的形式通知考生相关测评要求，请各位考生保持手机通畅，查收相关测评通知及时进入邮箱查看测评链接及校验码</w:t>
      </w:r>
      <w:r>
        <w:rPr>
          <w:rFonts w:hint="eastAsia" w:ascii="仿宋_GB2312" w:hAnsi="仿宋_GB2312" w:eastAsia="仿宋_GB2312" w:cs="仿宋_GB2312"/>
          <w:b/>
          <w:bCs/>
          <w:color w:val="000000" w:themeColor="text1"/>
          <w:sz w:val="32"/>
          <w:szCs w:val="32"/>
          <w14:textFill>
            <w14:solidFill>
              <w14:schemeClr w14:val="tx1"/>
            </w14:solidFill>
          </w14:textFill>
        </w:rPr>
        <w:t>（注：测评链接及校验码为个人专用链接，请不要泄露至他人，否则造成无法参加测评后果自负。）</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60" w:lineRule="exact"/>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一、测评时间安排</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模拟测评时间：</w:t>
      </w:r>
      <w:bookmarkStart w:id="0" w:name="_Hlk111811921"/>
      <w:r>
        <w:rPr>
          <w:rFonts w:hint="eastAsia" w:ascii="仿宋_GB2312" w:hAnsi="仿宋_GB2312" w:eastAsia="仿宋_GB2312" w:cs="仿宋_GB2312"/>
          <w:color w:val="000000" w:themeColor="text1"/>
          <w:sz w:val="32"/>
          <w:szCs w:val="32"/>
          <w14:textFill>
            <w14:solidFill>
              <w14:schemeClr w14:val="tx1"/>
            </w14:solidFill>
          </w14:textFill>
        </w:rPr>
        <w:t>2022年8月</w:t>
      </w:r>
      <w:r>
        <w:rPr>
          <w:rFonts w:ascii="仿宋_GB2312" w:hAnsi="仿宋_GB2312" w:eastAsia="仿宋_GB2312" w:cs="仿宋_GB2312"/>
          <w:color w:val="000000" w:themeColor="text1"/>
          <w:sz w:val="32"/>
          <w:szCs w:val="32"/>
          <w14:textFill>
            <w14:solidFill>
              <w14:schemeClr w14:val="tx1"/>
            </w14:solidFill>
          </w14:textFill>
        </w:rPr>
        <w:t>19</w:t>
      </w:r>
      <w:r>
        <w:rPr>
          <w:rFonts w:hint="eastAsia" w:ascii="仿宋_GB2312" w:hAnsi="仿宋_GB2312" w:eastAsia="仿宋_GB2312" w:cs="仿宋_GB2312"/>
          <w:color w:val="000000" w:themeColor="text1"/>
          <w:sz w:val="32"/>
          <w:szCs w:val="32"/>
          <w14:textFill>
            <w14:solidFill>
              <w14:schemeClr w14:val="tx1"/>
            </w14:solidFill>
          </w14:textFill>
        </w:rPr>
        <w:t>日1</w:t>
      </w:r>
      <w:r>
        <w:rPr>
          <w:rFonts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起至8月2</w:t>
      </w:r>
      <w:r>
        <w:rPr>
          <w:rFonts w:ascii="仿宋_GB2312" w:hAnsi="仿宋_GB2312"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日16:00</w:t>
      </w:r>
      <w:bookmarkEnd w:id="0"/>
      <w:r>
        <w:rPr>
          <w:rFonts w:hint="eastAsia" w:ascii="仿宋_GB2312" w:hAnsi="仿宋_GB2312" w:eastAsia="仿宋_GB2312" w:cs="仿宋_GB2312"/>
          <w:color w:val="000000" w:themeColor="text1"/>
          <w:sz w:val="32"/>
          <w:szCs w:val="32"/>
          <w14:textFill>
            <w14:solidFill>
              <w14:schemeClr w14:val="tx1"/>
            </w14:solidFill>
          </w14:textFill>
        </w:rPr>
        <w:t>。</w:t>
      </w:r>
    </w:p>
    <w:p>
      <w:pPr>
        <w:pStyle w:val="2"/>
        <w:spacing w:before="0" w:after="0" w:line="560" w:lineRule="exact"/>
        <w:ind w:firstLine="643"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注：本次模拟测评旨在对测评设备及网络环境进行</w:t>
      </w:r>
      <w:r>
        <w:rPr>
          <w:rFonts w:hint="eastAsia" w:ascii="仿宋_GB2312" w:hAnsi="仿宋_GB2312" w:eastAsia="仿宋_GB2312" w:cs="仿宋_GB2312"/>
          <w:color w:val="000000" w:themeColor="text1"/>
          <w:sz w:val="32"/>
          <w:szCs w:val="32"/>
          <w:lang w:eastAsia="zh-CN"/>
          <w14:textFill>
            <w14:solidFill>
              <w14:schemeClr w14:val="tx1"/>
            </w14:solidFill>
          </w14:textFill>
        </w:rPr>
        <w:t>测评</w:t>
      </w:r>
      <w:r>
        <w:rPr>
          <w:rFonts w:hint="eastAsia" w:ascii="仿宋_GB2312" w:hAnsi="仿宋_GB2312" w:eastAsia="仿宋_GB2312" w:cs="仿宋_GB2312"/>
          <w:color w:val="000000" w:themeColor="text1"/>
          <w:sz w:val="32"/>
          <w:szCs w:val="32"/>
          <w14:textFill>
            <w14:solidFill>
              <w14:schemeClr w14:val="tx1"/>
            </w14:solidFill>
          </w14:textFill>
        </w:rPr>
        <w:t>，确保正式测评顺利完成，模拟测评内容为随机测评试题（2-3题）与正式测评没有逻辑上的任何关联，且模拟测评结果不计入正式测评成绩。</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正式测评时间：2022年8月21日10:00-11:00。</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正式测评内容：职业行为风险+通用能力测评</w:t>
      </w:r>
    </w:p>
    <w:p>
      <w:pPr>
        <w:spacing w:line="560" w:lineRule="exact"/>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二、测评方式</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1.远程线上测评。</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2.本次测评为双视频监考测评，需要您按测评要求提前做好监控摄像头的准备，否则测评成绩无效。</w:t>
      </w:r>
    </w:p>
    <w:p>
      <w:pPr>
        <w:spacing w:line="560" w:lineRule="exact"/>
        <w:ind w:firstLine="640" w:firstLineChars="200"/>
        <w:rPr>
          <w:rFonts w:ascii="黑体" w:hAnsi="黑体" w:eastAsia="黑体" w:cs="黑体"/>
          <w:bCs/>
          <w:color w:val="000000" w:themeColor="text1"/>
          <w:sz w:val="32"/>
          <w:szCs w:val="32"/>
          <w14:textFill>
            <w14:solidFill>
              <w14:schemeClr w14:val="tx1"/>
            </w14:solidFill>
          </w14:textFill>
        </w:rPr>
      </w:pPr>
      <w:r>
        <w:rPr>
          <w:rFonts w:hint="eastAsia" w:ascii="黑体" w:hAnsi="黑体" w:eastAsia="黑体" w:cs="黑体"/>
          <w:bCs/>
          <w:color w:val="000000" w:themeColor="text1"/>
          <w:sz w:val="32"/>
          <w:szCs w:val="32"/>
          <w14:textFill>
            <w14:solidFill>
              <w14:schemeClr w14:val="tx1"/>
            </w14:solidFill>
          </w14:textFill>
        </w:rPr>
        <w:t>三、测评流程</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（一）测评前准备</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1.参与本次测评的考生需准备以下硬件设备：</w:t>
      </w:r>
      <w:r>
        <w:rPr>
          <w:rFonts w:hint="eastAsia" w:ascii="仿宋_GB2312" w:hAnsi="仿宋_GB2312" w:eastAsia="仿宋_GB2312" w:cs="仿宋_GB2312"/>
          <w:color w:val="000000" w:themeColor="text1"/>
          <w:kern w:val="0"/>
          <w:sz w:val="32"/>
          <w:szCs w:val="32"/>
          <w14:textFill>
            <w14:solidFill>
              <w14:schemeClr w14:val="tx1"/>
            </w14:solidFill>
          </w14:textFill>
        </w:rPr>
        <w:t>带有外置摄像头</w:t>
      </w:r>
      <w:r>
        <w:rPr>
          <w:rFonts w:hint="eastAsia" w:ascii="仿宋_GB2312" w:hAnsi="仿宋_GB2312" w:eastAsia="仿宋_GB2312" w:cs="仿宋_GB2312"/>
          <w:color w:val="000000" w:themeColor="text1"/>
          <w:sz w:val="32"/>
          <w:szCs w:val="32"/>
          <w14:textFill>
            <w14:solidFill>
              <w14:schemeClr w14:val="tx1"/>
            </w14:solidFill>
          </w14:textFill>
        </w:rPr>
        <w:t>、麦克风、音响的笔记本电脑或台式电脑，不能使用除监控使用外的手机、Pad等移动设备作答；为了确保测评的顺利进行，请确保正式测评的硬件设备在测评前进行过模拟试测。</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2.考生需在独立、安静、封闭的环境进行在线测评，作答背景不能复杂, </w:t>
      </w:r>
      <w:r>
        <w:rPr>
          <w:rFonts w:hint="eastAsia" w:ascii="仿宋_GB2312" w:hAnsi="仿宋_GB2312" w:eastAsia="仿宋_GB2312" w:cs="仿宋_GB2312"/>
          <w:color w:val="000000" w:themeColor="text1"/>
          <w:kern w:val="0"/>
          <w:sz w:val="32"/>
          <w:szCs w:val="32"/>
          <w14:textFill>
            <w14:solidFill>
              <w14:schemeClr w14:val="tx1"/>
            </w14:solidFill>
          </w14:textFill>
        </w:rPr>
        <w:t>需保持整洁，光线不能晕暗，保持正常光线；不允许在网吧、宿舍、办公室、室外等公共环境作答</w:t>
      </w:r>
      <w:r>
        <w:rPr>
          <w:rFonts w:hint="eastAsia" w:ascii="仿宋_GB2312" w:hAnsi="仿宋_GB2312" w:eastAsia="仿宋_GB2312" w:cs="仿宋_GB2312"/>
          <w:color w:val="000000" w:themeColor="text1"/>
          <w:sz w:val="32"/>
          <w:szCs w:val="32"/>
          <w14:textFill>
            <w14:solidFill>
              <w14:schemeClr w14:val="tx1"/>
            </w14:solidFill>
          </w14:textFill>
        </w:rPr>
        <w:t>（届时因环境原因导致作弊误判由考生本人承担）。</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（二）模拟测评</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模拟测评时间为2022年8月</w:t>
      </w:r>
      <w:r>
        <w:rPr>
          <w:rFonts w:ascii="仿宋_GB2312" w:hAnsi="仿宋_GB2312" w:eastAsia="仿宋_GB2312" w:cs="仿宋_GB2312"/>
          <w:color w:val="000000" w:themeColor="text1"/>
          <w:sz w:val="32"/>
          <w:szCs w:val="32"/>
          <w14:textFill>
            <w14:solidFill>
              <w14:schemeClr w14:val="tx1"/>
            </w14:solidFill>
          </w14:textFill>
        </w:rPr>
        <w:t>19</w:t>
      </w:r>
      <w:r>
        <w:rPr>
          <w:rFonts w:hint="eastAsia" w:ascii="仿宋_GB2312" w:hAnsi="仿宋_GB2312" w:eastAsia="仿宋_GB2312" w:cs="仿宋_GB2312"/>
          <w:color w:val="000000" w:themeColor="text1"/>
          <w:sz w:val="32"/>
          <w:szCs w:val="32"/>
          <w14:textFill>
            <w14:solidFill>
              <w14:schemeClr w14:val="tx1"/>
            </w14:solidFill>
          </w14:textFill>
        </w:rPr>
        <w:t>日1</w:t>
      </w:r>
      <w:r>
        <w:rPr>
          <w:rFonts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w:t>
      </w:r>
      <w:r>
        <w:rPr>
          <w:rFonts w:ascii="仿宋_GB2312" w:hAnsi="仿宋_GB2312" w:eastAsia="仿宋_GB2312" w:cs="仿宋_GB2312"/>
          <w:color w:val="000000" w:themeColor="text1"/>
          <w:sz w:val="32"/>
          <w:szCs w:val="32"/>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起至8月2</w:t>
      </w:r>
      <w:r>
        <w:rPr>
          <w:rFonts w:ascii="仿宋_GB2312" w:hAnsi="仿宋_GB2312"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日16:00。请参加测评的考生根据短信和邮件通知的时间登陆模拟试测链接，根据测评要求调试测评设备，确保正式测评能顺利进行。</w:t>
      </w:r>
    </w:p>
    <w:p>
      <w:pPr>
        <w:adjustRightInd w:val="0"/>
        <w:snapToGrid w:val="0"/>
        <w:spacing w:line="560" w:lineRule="exact"/>
        <w:ind w:left="420" w:leftChars="200" w:firstLine="320" w:firstLineChars="1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1.模拟试测电脑端链接（第一监控视角）</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（1）请点击模拟试测邀约邮件中</w:t>
      </w:r>
      <w:r>
        <w:rPr>
          <w:rFonts w:hint="eastAsia" w:ascii="仿宋_GB2312" w:hAnsi="仿宋_GB2312" w:eastAsia="仿宋_GB2312" w:cs="仿宋_GB2312"/>
          <w:b/>
          <w:bCs/>
          <w:color w:val="000000" w:themeColor="text1"/>
          <w:sz w:val="32"/>
          <w:szCs w:val="32"/>
          <w14:textFill>
            <w14:solidFill>
              <w14:schemeClr w14:val="tx1"/>
            </w14:solidFill>
          </w14:textFill>
        </w:rPr>
        <w:t>模拟试测电脑端链接</w:t>
      </w:r>
      <w:r>
        <w:rPr>
          <w:rFonts w:hint="eastAsia" w:ascii="仿宋_GB2312" w:hAnsi="仿宋_GB2312" w:eastAsia="仿宋_GB2312" w:cs="仿宋_GB2312"/>
          <w:color w:val="000000" w:themeColor="text1"/>
          <w:sz w:val="32"/>
          <w:szCs w:val="32"/>
          <w14:textFill>
            <w14:solidFill>
              <w14:schemeClr w14:val="tx1"/>
            </w14:solidFill>
          </w14:textFill>
        </w:rPr>
        <w:t>。</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（2）请一定完成模拟试测并保证与正式测评的设备及网络一致。</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（3）考生要保证网络环境的稳定、硬件设备的电量充足、视频设备的正常显示，可使用 Windows或Mac系统的电脑，届时因网络、电力、硬件设备出现的问题和耽误的时间由考生本人承担。</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（4）为确保</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测评</w:t>
      </w:r>
      <w:r>
        <w:rPr>
          <w:rFonts w:hint="eastAsia" w:ascii="仿宋_GB2312" w:hAnsi="仿宋_GB2312" w:eastAsia="仿宋_GB2312" w:cs="仿宋_GB2312"/>
          <w:color w:val="000000" w:themeColor="text1"/>
          <w:sz w:val="32"/>
          <w:szCs w:val="32"/>
          <w14:textFill>
            <w14:solidFill>
              <w14:schemeClr w14:val="tx1"/>
            </w14:solidFill>
          </w14:textFill>
        </w:rPr>
        <w:t>系统稳定，请使用</w:t>
      </w:r>
      <w:r>
        <w:rPr>
          <w:rFonts w:hint="eastAsia" w:ascii="仿宋_GB2312" w:hAnsi="仿宋_GB2312" w:eastAsia="仿宋_GB2312" w:cs="仿宋_GB2312"/>
          <w:color w:val="000000" w:themeColor="text1"/>
          <w:kern w:val="0"/>
          <w:sz w:val="32"/>
          <w:szCs w:val="32"/>
          <w14:textFill>
            <w14:solidFill>
              <w14:schemeClr w14:val="tx1"/>
            </w14:solidFill>
          </w14:textFill>
        </w:rPr>
        <w:t>谷歌Chrome 72或最新版本浏览器作答；网络速度保证在300K/秒或以上</w:t>
      </w:r>
      <w:r>
        <w:rPr>
          <w:rFonts w:hint="eastAsia" w:ascii="仿宋_GB2312" w:hAnsi="仿宋_GB2312" w:eastAsia="仿宋_GB2312" w:cs="仿宋_GB2312"/>
          <w:color w:val="000000" w:themeColor="text1"/>
          <w:sz w:val="32"/>
          <w:szCs w:val="32"/>
          <w14:textFill>
            <w14:solidFill>
              <w14:schemeClr w14:val="tx1"/>
            </w14:solidFill>
          </w14:textFill>
        </w:rPr>
        <w:t>（测评前请考生准备好备用测评设备及网络热点，以防测评中设备及网络故障影响本次测评，若链接无法点击，请复制链接至谷歌浏览器地址栏打开）。</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（5）测评设备：通过笔记本电脑或带有外置麦克风和扬声器台式机电脑（模拟试测</w:t>
      </w:r>
      <w:r>
        <w:rPr>
          <w:rFonts w:hint="eastAsia" w:ascii="仿宋_GB2312" w:hAnsi="仿宋_GB2312" w:eastAsia="仿宋_GB2312" w:cs="仿宋_GB2312"/>
          <w:color w:val="000000" w:themeColor="text1"/>
          <w:kern w:val="0"/>
          <w:sz w:val="32"/>
          <w:szCs w:val="32"/>
          <w14:textFill>
            <w14:solidFill>
              <w14:schemeClr w14:val="tx1"/>
            </w14:solidFill>
          </w14:textFill>
        </w:rPr>
        <w:t>设备应为正式测评时使用的设备</w:t>
      </w:r>
      <w:r>
        <w:rPr>
          <w:rFonts w:hint="eastAsia" w:ascii="仿宋_GB2312" w:hAnsi="仿宋_GB2312" w:eastAsia="仿宋_GB2312" w:cs="仿宋_GB2312"/>
          <w:color w:val="000000" w:themeColor="text1"/>
          <w:sz w:val="32"/>
          <w:szCs w:val="32"/>
          <w14:textFill>
            <w14:solidFill>
              <w14:schemeClr w14:val="tx1"/>
            </w14:solidFill>
          </w14:textFill>
        </w:rPr>
        <w:t>）。</w:t>
      </w:r>
    </w:p>
    <w:p>
      <w:pPr>
        <w:adjustRightInd w:val="0"/>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（6）测评现场摄像头放置位置要求完整的拍摄到您的头部、手部及桌面，如下图所示：</w:t>
      </w:r>
    </w:p>
    <w:tbl>
      <w:tblPr>
        <w:tblStyle w:val="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53"/>
        <w:gridCol w:w="2953"/>
        <w:gridCol w:w="2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51" w:hRule="atLeast"/>
          <w:jc w:val="center"/>
        </w:trPr>
        <w:tc>
          <w:tcPr>
            <w:tcW w:w="2953" w:type="dxa"/>
            <w:vAlign w:val="center"/>
          </w:tcPr>
          <w:p>
            <w:pPr>
              <w:adjustRightInd w:val="0"/>
              <w:snapToGrid w:val="0"/>
              <w:spacing w:line="62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anchor distT="0" distB="0" distL="114300" distR="114300" simplePos="0" relativeHeight="251659264" behindDoc="0" locked="0" layoutInCell="1" allowOverlap="1">
                  <wp:simplePos x="0" y="0"/>
                  <wp:positionH relativeFrom="column">
                    <wp:posOffset>-150495</wp:posOffset>
                  </wp:positionH>
                  <wp:positionV relativeFrom="paragraph">
                    <wp:posOffset>-1506855</wp:posOffset>
                  </wp:positionV>
                  <wp:extent cx="1857375" cy="13525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1857375" cy="1352550"/>
                          </a:xfrm>
                          <a:prstGeom prst="rect">
                            <a:avLst/>
                          </a:prstGeom>
                          <a:noFill/>
                          <a:ln>
                            <a:noFill/>
                          </a:ln>
                        </pic:spPr>
                      </pic:pic>
                    </a:graphicData>
                  </a:graphic>
                </wp:anchor>
              </w:drawing>
            </w:r>
          </w:p>
        </w:tc>
        <w:tc>
          <w:tcPr>
            <w:tcW w:w="2953" w:type="dxa"/>
          </w:tcPr>
          <w:p>
            <w:pPr>
              <w:adjustRightInd w:val="0"/>
              <w:snapToGrid w:val="0"/>
              <w:spacing w:line="62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-56515</wp:posOffset>
                  </wp:positionH>
                  <wp:positionV relativeFrom="paragraph">
                    <wp:posOffset>-281305</wp:posOffset>
                  </wp:positionV>
                  <wp:extent cx="1626235" cy="1352550"/>
                  <wp:effectExtent l="0" t="0" r="2540" b="0"/>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1626235" cy="1352550"/>
                          </a:xfrm>
                          <a:prstGeom prst="rect">
                            <a:avLst/>
                          </a:prstGeom>
                          <a:noFill/>
                          <a:ln>
                            <a:noFill/>
                          </a:ln>
                        </pic:spPr>
                      </pic:pic>
                    </a:graphicData>
                  </a:graphic>
                </wp:anchor>
              </w:drawing>
            </w:r>
          </w:p>
        </w:tc>
        <w:tc>
          <w:tcPr>
            <w:tcW w:w="2953" w:type="dxa"/>
          </w:tcPr>
          <w:p>
            <w:pPr>
              <w:adjustRightInd w:val="0"/>
              <w:snapToGrid w:val="0"/>
              <w:spacing w:line="620" w:lineRule="exac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column">
                    <wp:posOffset>-149860</wp:posOffset>
                  </wp:positionH>
                  <wp:positionV relativeFrom="paragraph">
                    <wp:posOffset>-281305</wp:posOffset>
                  </wp:positionV>
                  <wp:extent cx="1901825" cy="1348105"/>
                  <wp:effectExtent l="0" t="0" r="3175" b="4445"/>
                  <wp:wrapSquare wrapText="bothSides"/>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1901825" cy="1348105"/>
                          </a:xfrm>
                          <a:prstGeom prst="rect">
                            <a:avLst/>
                          </a:prstGeom>
                          <a:noFill/>
                          <a:ln>
                            <a:noFill/>
                          </a:ln>
                        </pic:spPr>
                      </pic:pic>
                    </a:graphicData>
                  </a:graphic>
                </wp:anchor>
              </w:drawing>
            </w:r>
          </w:p>
        </w:tc>
      </w:tr>
    </w:tbl>
    <w:p>
      <w:pPr>
        <w:adjustRightInd w:val="0"/>
        <w:snapToGrid w:val="0"/>
        <w:spacing w:line="560" w:lineRule="exact"/>
        <w:ind w:left="420" w:leftChars="200" w:firstLine="320" w:firstLineChars="1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2.测评操作流程</w:t>
      </w:r>
    </w:p>
    <w:p>
      <w:pPr>
        <w:adjustRightInd w:val="0"/>
        <w:snapToGrid w:val="0"/>
        <w:spacing w:line="560" w:lineRule="exact"/>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（1）打开报名时填写的个人邮箱</w:t>
      </w:r>
    </w:p>
    <w:p>
      <w:pPr>
        <w:adjustRightInd w:val="0"/>
        <w:snapToGrid w:val="0"/>
        <w:spacing w:line="560" w:lineRule="exact"/>
        <w:ind w:left="420" w:leftChars="200"/>
        <w:jc w:val="left"/>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（2）点击标题为“</w:t>
      </w:r>
      <w:r>
        <w:rPr>
          <w:rFonts w:hint="eastAsia" w:ascii="仿宋" w:hAnsi="仿宋" w:eastAsia="仿宋" w:cs="仿宋"/>
          <w:sz w:val="32"/>
          <w:szCs w:val="32"/>
        </w:rPr>
        <w:t>贵州茅台酒股份有限公司和义兴酒业分公司2022年下半年招聘模拟测评邀请</w:t>
      </w:r>
      <w:r>
        <w:rPr>
          <w:rFonts w:hint="eastAsia" w:ascii="仿宋" w:hAnsi="仿宋" w:eastAsia="仿宋" w:cs="仿宋"/>
          <w:color w:val="000000" w:themeColor="text1"/>
          <w:sz w:val="32"/>
          <w:szCs w:val="32"/>
          <w14:textFill>
            <w14:solidFill>
              <w14:schemeClr w14:val="tx1"/>
            </w14:solidFill>
          </w14:textFill>
        </w:rPr>
        <w:t>”的邮件示例：</w:t>
      </w:r>
    </w:p>
    <w:p>
      <w:pPr>
        <w:adjustRightInd w:val="0"/>
        <w:snapToGrid w:val="0"/>
        <w:spacing w:line="620" w:lineRule="exact"/>
        <w:ind w:left="420"/>
        <w:jc w:val="left"/>
        <w:rPr>
          <w:rFonts w:ascii="仿宋" w:hAnsi="仿宋" w:eastAsia="仿宋" w:cs="仿宋"/>
          <w:color w:val="000000" w:themeColor="text1"/>
          <w:sz w:val="30"/>
          <w:szCs w:val="30"/>
          <w14:textFill>
            <w14:solidFill>
              <w14:schemeClr w14:val="tx1"/>
            </w14:solidFill>
          </w14:textFill>
        </w:rPr>
      </w:pPr>
      <w:r>
        <w:rPr>
          <w:rFonts w:hint="eastAsia" w:ascii="仿宋" w:hAnsi="仿宋" w:eastAsia="仿宋" w:cs="仿宋"/>
          <w:sz w:val="30"/>
          <w:szCs w:val="30"/>
        </w:rPr>
        <w:drawing>
          <wp:anchor distT="0" distB="0" distL="114300" distR="114300" simplePos="0" relativeHeight="251663360" behindDoc="0" locked="0" layoutInCell="1" allowOverlap="1">
            <wp:simplePos x="0" y="0"/>
            <wp:positionH relativeFrom="column">
              <wp:posOffset>-38735</wp:posOffset>
            </wp:positionH>
            <wp:positionV relativeFrom="paragraph">
              <wp:posOffset>267970</wp:posOffset>
            </wp:positionV>
            <wp:extent cx="5794375" cy="732155"/>
            <wp:effectExtent l="0" t="0" r="9525" b="4445"/>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794375" cy="732155"/>
                    </a:xfrm>
                    <a:prstGeom prst="rect">
                      <a:avLst/>
                    </a:prstGeom>
                    <a:noFill/>
                    <a:ln>
                      <a:noFill/>
                    </a:ln>
                  </pic:spPr>
                </pic:pic>
              </a:graphicData>
            </a:graphic>
          </wp:anchor>
        </w:drawing>
      </w:r>
    </w:p>
    <w:p>
      <w:pPr>
        <w:adjustRightInd w:val="0"/>
        <w:snapToGrid w:val="0"/>
        <w:spacing w:line="620" w:lineRule="exact"/>
        <w:ind w:left="420"/>
        <w:rPr>
          <w:rFonts w:ascii="仿宋" w:hAnsi="仿宋" w:eastAsia="仿宋" w:cs="仿宋"/>
          <w:sz w:val="30"/>
          <w:szCs w:val="30"/>
        </w:rPr>
      </w:pPr>
    </w:p>
    <w:p>
      <w:pPr>
        <w:adjustRightInd w:val="0"/>
        <w:snapToGrid w:val="0"/>
        <w:spacing w:line="620" w:lineRule="exact"/>
        <w:ind w:left="420"/>
        <w:rPr>
          <w:rFonts w:ascii="仿宋" w:hAnsi="仿宋" w:eastAsia="仿宋" w:cs="仿宋"/>
          <w:sz w:val="30"/>
          <w:szCs w:val="30"/>
        </w:rPr>
      </w:pP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进入后请认真详读邮件内容并找到邮件最下端的</w:t>
      </w:r>
      <w:r>
        <w:rPr>
          <w:rFonts w:hint="eastAsia" w:ascii="仿宋_GB2312" w:hAnsi="仿宋_GB2312" w:eastAsia="仿宋_GB2312" w:cs="仿宋_GB2312"/>
          <w:b/>
          <w:bCs/>
          <w:color w:val="000000" w:themeColor="text1"/>
          <w:sz w:val="32"/>
          <w:szCs w:val="32"/>
          <w14:textFill>
            <w14:solidFill>
              <w14:schemeClr w14:val="tx1"/>
            </w14:solidFill>
          </w14:textFill>
        </w:rPr>
        <w:t>参加测评（后面是测评链接），</w:t>
      </w:r>
      <w:r>
        <w:rPr>
          <w:rFonts w:hint="eastAsia" w:ascii="仿宋_GB2312" w:hAnsi="仿宋_GB2312" w:eastAsia="仿宋_GB2312" w:cs="仿宋_GB2312"/>
          <w:color w:val="000000" w:themeColor="text1"/>
          <w:sz w:val="32"/>
          <w:szCs w:val="32"/>
          <w14:textFill>
            <w14:solidFill>
              <w14:schemeClr w14:val="tx1"/>
            </w14:solidFill>
          </w14:textFill>
        </w:rPr>
        <w:t>示例：</w:t>
      </w:r>
    </w:p>
    <w:p>
      <w:pPr>
        <w:jc w:val="center"/>
      </w:pPr>
      <w:r>
        <w:drawing>
          <wp:inline distT="0" distB="0" distL="114300" distR="114300">
            <wp:extent cx="2748915" cy="1994535"/>
            <wp:effectExtent l="0" t="0" r="6985" b="12065"/>
            <wp:docPr id="12" name="图片 12" descr="166086712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0867121838"/>
                    <pic:cNvPicPr>
                      <a:picLocks noChangeAspect="1"/>
                    </pic:cNvPicPr>
                  </pic:nvPicPr>
                  <pic:blipFill>
                    <a:blip r:embed="rId10"/>
                    <a:srcRect t="8141"/>
                    <a:stretch>
                      <a:fillRect/>
                    </a:stretch>
                  </pic:blipFill>
                  <pic:spPr>
                    <a:xfrm>
                      <a:off x="0" y="0"/>
                      <a:ext cx="2748915" cy="1994535"/>
                    </a:xfrm>
                    <a:prstGeom prst="rect">
                      <a:avLst/>
                    </a:prstGeom>
                  </pic:spPr>
                </pic:pic>
              </a:graphicData>
            </a:graphic>
          </wp:inline>
        </w:drawing>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点击模拟试测邀约邮件中接受邀请后点击参加测评后测评链接，进入登陆页面。如下示例：</w:t>
      </w:r>
    </w:p>
    <w:p>
      <w:pPr>
        <w:pStyle w:val="2"/>
        <w:jc w:val="center"/>
      </w:pPr>
      <w:r>
        <w:rPr>
          <w:rFonts w:hint="eastAsia"/>
        </w:rPr>
        <w:drawing>
          <wp:inline distT="0" distB="0" distL="114300" distR="114300">
            <wp:extent cx="2981960" cy="1807845"/>
            <wp:effectExtent l="0" t="0" r="2540" b="8255"/>
            <wp:docPr id="14" name="图片 14" descr="1660867925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0867925972"/>
                    <pic:cNvPicPr>
                      <a:picLocks noChangeAspect="1"/>
                    </pic:cNvPicPr>
                  </pic:nvPicPr>
                  <pic:blipFill>
                    <a:blip r:embed="rId11"/>
                    <a:stretch>
                      <a:fillRect/>
                    </a:stretch>
                  </pic:blipFill>
                  <pic:spPr>
                    <a:xfrm>
                      <a:off x="0" y="0"/>
                      <a:ext cx="2981960" cy="1807845"/>
                    </a:xfrm>
                    <a:prstGeom prst="rect">
                      <a:avLst/>
                    </a:prstGeom>
                  </pic:spPr>
                </pic:pic>
              </a:graphicData>
            </a:graphic>
          </wp:inline>
        </w:drawing>
      </w:r>
    </w:p>
    <w:p>
      <w:pPr>
        <w:adjustRightInd w:val="0"/>
        <w:snapToGrid w:val="0"/>
        <w:spacing w:line="560" w:lineRule="exact"/>
        <w:ind w:firstLine="640" w:firstLineChars="200"/>
      </w:pPr>
      <w:r>
        <w:rPr>
          <w:rFonts w:hint="eastAsia" w:ascii="仿宋_GB2312" w:hAnsi="仿宋_GB2312" w:eastAsia="仿宋_GB2312" w:cs="仿宋_GB2312"/>
          <w:color w:val="000000" w:themeColor="text1"/>
          <w:sz w:val="32"/>
          <w:szCs w:val="32"/>
          <w14:textFill>
            <w14:solidFill>
              <w14:schemeClr w14:val="tx1"/>
            </w14:solidFill>
          </w14:textFill>
        </w:rPr>
        <w:t>在此处输入邮件中链接上方的校验码，如下图：</w:t>
      </w:r>
    </w:p>
    <w:p>
      <w:pPr>
        <w:pStyle w:val="2"/>
        <w:jc w:val="center"/>
      </w:pPr>
      <w:r>
        <w:drawing>
          <wp:inline distT="0" distB="0" distL="114300" distR="114300">
            <wp:extent cx="3757295" cy="2157095"/>
            <wp:effectExtent l="0" t="0" r="1905" b="190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2"/>
                    <a:stretch>
                      <a:fillRect/>
                    </a:stretch>
                  </pic:blipFill>
                  <pic:spPr>
                    <a:xfrm>
                      <a:off x="0" y="0"/>
                      <a:ext cx="3757295" cy="2157095"/>
                    </a:xfrm>
                    <a:prstGeom prst="rect">
                      <a:avLst/>
                    </a:prstGeom>
                    <a:noFill/>
                    <a:ln>
                      <a:noFill/>
                    </a:ln>
                  </pic:spPr>
                </pic:pic>
              </a:graphicData>
            </a:graphic>
          </wp:inline>
        </w:drawing>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根据提示完成个人相关信息填写，示例：</w:t>
      </w:r>
    </w:p>
    <w:p>
      <w:pPr>
        <w:jc w:val="center"/>
      </w:pPr>
      <w:r>
        <w:drawing>
          <wp:inline distT="0" distB="0" distL="114300" distR="114300">
            <wp:extent cx="3905250" cy="2312670"/>
            <wp:effectExtent l="0" t="0" r="6350" b="11430"/>
            <wp:docPr id="16" name="图片 16" descr="1660868707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0868707860"/>
                    <pic:cNvPicPr>
                      <a:picLocks noChangeAspect="1"/>
                    </pic:cNvPicPr>
                  </pic:nvPicPr>
                  <pic:blipFill>
                    <a:blip r:embed="rId13"/>
                    <a:stretch>
                      <a:fillRect/>
                    </a:stretch>
                  </pic:blipFill>
                  <pic:spPr>
                    <a:xfrm>
                      <a:off x="0" y="0"/>
                      <a:ext cx="3905250" cy="2312670"/>
                    </a:xfrm>
                    <a:prstGeom prst="rect">
                      <a:avLst/>
                    </a:prstGeom>
                  </pic:spPr>
                </pic:pic>
              </a:graphicData>
            </a:graphic>
          </wp:inline>
        </w:drawing>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完成拍照（点击“去拍照”），示例：</w:t>
      </w:r>
    </w:p>
    <w:p>
      <w:pPr>
        <w:jc w:val="center"/>
      </w:pPr>
      <w:r>
        <w:drawing>
          <wp:inline distT="0" distB="0" distL="114300" distR="114300">
            <wp:extent cx="2531110" cy="2663190"/>
            <wp:effectExtent l="0" t="0" r="8890" b="3810"/>
            <wp:docPr id="17" name="图片 17" descr="166086880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0868807932"/>
                    <pic:cNvPicPr>
                      <a:picLocks noChangeAspect="1"/>
                    </pic:cNvPicPr>
                  </pic:nvPicPr>
                  <pic:blipFill>
                    <a:blip r:embed="rId14"/>
                    <a:stretch>
                      <a:fillRect/>
                    </a:stretch>
                  </pic:blipFill>
                  <pic:spPr>
                    <a:xfrm>
                      <a:off x="0" y="0"/>
                      <a:ext cx="2531110" cy="2663190"/>
                    </a:xfrm>
                    <a:prstGeom prst="rect">
                      <a:avLst/>
                    </a:prstGeom>
                  </pic:spPr>
                </pic:pic>
              </a:graphicData>
            </a:graphic>
          </wp:inline>
        </w:drawing>
      </w:r>
    </w:p>
    <w:p>
      <w:pPr>
        <w:pStyle w:val="2"/>
        <w:jc w:val="center"/>
      </w:pPr>
      <w:r>
        <w:drawing>
          <wp:inline distT="0" distB="0" distL="114300" distR="114300">
            <wp:extent cx="2905125" cy="1886585"/>
            <wp:effectExtent l="0" t="0" r="0" b="8890"/>
            <wp:docPr id="18" name="图片 18" descr="166086888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0868887808"/>
                    <pic:cNvPicPr>
                      <a:picLocks noChangeAspect="1"/>
                    </pic:cNvPicPr>
                  </pic:nvPicPr>
                  <pic:blipFill>
                    <a:blip r:embed="rId15"/>
                    <a:stretch>
                      <a:fillRect/>
                    </a:stretch>
                  </pic:blipFill>
                  <pic:spPr>
                    <a:xfrm>
                      <a:off x="0" y="0"/>
                      <a:ext cx="2905125" cy="1886585"/>
                    </a:xfrm>
                    <a:prstGeom prst="rect">
                      <a:avLst/>
                    </a:prstGeom>
                  </pic:spPr>
                </pic:pic>
              </a:graphicData>
            </a:graphic>
          </wp:inline>
        </w:drawing>
      </w:r>
    </w:p>
    <w:p>
      <w:pPr>
        <w:adjustRightInd w:val="0"/>
        <w:snapToGrid w:val="0"/>
        <w:spacing w:line="620" w:lineRule="exact"/>
        <w:ind w:left="420" w:firstLine="640" w:firstLineChars="200"/>
        <w:rPr>
          <w:rFonts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根据要求完成拍照（注意，头像放入框中后需点击“</w:t>
      </w:r>
      <w:r>
        <w:rPr>
          <w:rFonts w:hint="eastAsia" w:ascii="仿宋_GB2312" w:hAnsi="仿宋_GB2312" w:eastAsia="仿宋_GB2312" w:cs="仿宋_GB2312"/>
          <w:bCs/>
          <w:color w:val="000000" w:themeColor="text1"/>
          <w:sz w:val="32"/>
          <w:szCs w:val="32"/>
          <w14:textFill>
            <w14:solidFill>
              <w14:schemeClr w14:val="tx1"/>
            </w14:solidFill>
          </w14:textFill>
        </w:rPr>
        <w:t>拍照”）</w:t>
      </w:r>
    </w:p>
    <w:p>
      <w:pPr>
        <w:pStyle w:val="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496310" cy="1096645"/>
            <wp:effectExtent l="0" t="0" r="8890" b="8255"/>
            <wp:docPr id="19" name="图片 19" descr="166086902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0869022409"/>
                    <pic:cNvPicPr>
                      <a:picLocks noChangeAspect="1"/>
                    </pic:cNvPicPr>
                  </pic:nvPicPr>
                  <pic:blipFill>
                    <a:blip r:embed="rId16"/>
                    <a:stretch>
                      <a:fillRect/>
                    </a:stretch>
                  </pic:blipFill>
                  <pic:spPr>
                    <a:xfrm>
                      <a:off x="0" y="0"/>
                      <a:ext cx="3496310" cy="1096645"/>
                    </a:xfrm>
                    <a:prstGeom prst="rect">
                      <a:avLst/>
                    </a:prstGeom>
                  </pic:spPr>
                </pic:pic>
              </a:graphicData>
            </a:graphic>
          </wp:inline>
        </w:drawing>
      </w:r>
    </w:p>
    <w:p>
      <w:pPr>
        <w:adjustRightInd w:val="0"/>
        <w:snapToGrid w:val="0"/>
        <w:spacing w:line="620" w:lineRule="exact"/>
        <w:ind w:left="420"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请确保您所填身份证与您个人信息一致，否则拍照后会提示信息不符，如下所示：</w:t>
      </w:r>
    </w:p>
    <w:p>
      <w:pPr>
        <w:pStyle w:val="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885440" cy="1435100"/>
            <wp:effectExtent l="0" t="0" r="635" b="3175"/>
            <wp:docPr id="20" name="图片 20" descr="166086906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0869068250"/>
                    <pic:cNvPicPr>
                      <a:picLocks noChangeAspect="1"/>
                    </pic:cNvPicPr>
                  </pic:nvPicPr>
                  <pic:blipFill>
                    <a:blip r:embed="rId17"/>
                    <a:stretch>
                      <a:fillRect/>
                    </a:stretch>
                  </pic:blipFill>
                  <pic:spPr>
                    <a:xfrm>
                      <a:off x="0" y="0"/>
                      <a:ext cx="2885440" cy="1435100"/>
                    </a:xfrm>
                    <a:prstGeom prst="rect">
                      <a:avLst/>
                    </a:prstGeom>
                  </pic:spPr>
                </pic:pic>
              </a:graphicData>
            </a:graphic>
          </wp:inline>
        </w:drawing>
      </w:r>
    </w:p>
    <w:p>
      <w:pPr>
        <w:adjustRightInd w:val="0"/>
        <w:snapToGrid w:val="0"/>
        <w:spacing w:line="620" w:lineRule="exact"/>
        <w:ind w:left="420"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该环节通过后，系统将对您的测评设备及网络环境进行检测，通过后会显示如下示例：</w:t>
      </w:r>
    </w:p>
    <w:p>
      <w:pPr>
        <w:pStyle w:val="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512185" cy="1547495"/>
            <wp:effectExtent l="0" t="0" r="5715" b="1905"/>
            <wp:docPr id="21" name="图片 21" descr="166086918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0869181470"/>
                    <pic:cNvPicPr>
                      <a:picLocks noChangeAspect="1"/>
                    </pic:cNvPicPr>
                  </pic:nvPicPr>
                  <pic:blipFill>
                    <a:blip r:embed="rId18"/>
                    <a:stretch>
                      <a:fillRect/>
                    </a:stretch>
                  </pic:blipFill>
                  <pic:spPr>
                    <a:xfrm>
                      <a:off x="0" y="0"/>
                      <a:ext cx="3512185" cy="1547495"/>
                    </a:xfrm>
                    <a:prstGeom prst="rect">
                      <a:avLst/>
                    </a:prstGeom>
                  </pic:spPr>
                </pic:pic>
              </a:graphicData>
            </a:graphic>
          </wp:inline>
        </w:drawing>
      </w:r>
    </w:p>
    <w:p>
      <w:pPr>
        <w:adjustRightInd w:val="0"/>
        <w:snapToGrid w:val="0"/>
        <w:spacing w:line="620" w:lineRule="exact"/>
        <w:ind w:left="420" w:firstLine="320" w:firstLineChars="1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点击下一步，将出现本次测评的作答要求，示例：</w:t>
      </w:r>
    </w:p>
    <w:p>
      <w:pPr>
        <w:pStyle w:val="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009390" cy="1748155"/>
            <wp:effectExtent l="0" t="0" r="635" b="4445"/>
            <wp:docPr id="22" name="图片 22" descr="166086928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0869287474"/>
                    <pic:cNvPicPr>
                      <a:picLocks noChangeAspect="1"/>
                    </pic:cNvPicPr>
                  </pic:nvPicPr>
                  <pic:blipFill>
                    <a:blip r:embed="rId19"/>
                    <a:stretch>
                      <a:fillRect/>
                    </a:stretch>
                  </pic:blipFill>
                  <pic:spPr>
                    <a:xfrm>
                      <a:off x="0" y="0"/>
                      <a:ext cx="4009390" cy="1748155"/>
                    </a:xfrm>
                    <a:prstGeom prst="rect">
                      <a:avLst/>
                    </a:prstGeom>
                  </pic:spPr>
                </pic:pic>
              </a:graphicData>
            </a:graphic>
          </wp:inline>
        </w:drawing>
      </w:r>
    </w:p>
    <w:p>
      <w:pPr>
        <w:adjustRightInd w:val="0"/>
        <w:snapToGrid w:val="0"/>
        <w:spacing w:line="620" w:lineRule="exact"/>
        <w:ind w:left="420" w:firstLine="320" w:firstLineChars="1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在确保一切无误后点击下一步，按提示开始试卷作答。示例：</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733800" cy="1996440"/>
            <wp:effectExtent l="0" t="0" r="0" b="10160"/>
            <wp:docPr id="23" name="图片 23" descr="166086938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0869389074"/>
                    <pic:cNvPicPr>
                      <a:picLocks noChangeAspect="1"/>
                    </pic:cNvPicPr>
                  </pic:nvPicPr>
                  <pic:blipFill>
                    <a:blip r:embed="rId20"/>
                    <a:stretch>
                      <a:fillRect/>
                    </a:stretch>
                  </pic:blipFill>
                  <pic:spPr>
                    <a:xfrm>
                      <a:off x="0" y="0"/>
                      <a:ext cx="3733800" cy="1996440"/>
                    </a:xfrm>
                    <a:prstGeom prst="rect">
                      <a:avLst/>
                    </a:prstGeom>
                  </pic:spPr>
                </pic:pic>
              </a:graphicData>
            </a:graphic>
          </wp:inline>
        </w:drawing>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作答期间摄像头将全程进行录制，若您开启或离开作答页面（鼠标划开作答页面也能监测到），系统将会进行提示警告。示例：</w:t>
      </w:r>
    </w:p>
    <w:p>
      <w:pPr>
        <w:pStyle w:val="2"/>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220085" cy="1935480"/>
            <wp:effectExtent l="0" t="0" r="5715" b="7620"/>
            <wp:docPr id="24" name="图片 24" descr="1660869526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0869526706"/>
                    <pic:cNvPicPr>
                      <a:picLocks noChangeAspect="1"/>
                    </pic:cNvPicPr>
                  </pic:nvPicPr>
                  <pic:blipFill>
                    <a:blip r:embed="rId21"/>
                    <a:stretch>
                      <a:fillRect/>
                    </a:stretch>
                  </pic:blipFill>
                  <pic:spPr>
                    <a:xfrm>
                      <a:off x="0" y="0"/>
                      <a:ext cx="3220085" cy="1935480"/>
                    </a:xfrm>
                    <a:prstGeom prst="rect">
                      <a:avLst/>
                    </a:prstGeom>
                  </pic:spPr>
                </pic:pic>
              </a:graphicData>
            </a:graphic>
          </wp:inline>
        </w:drawing>
      </w:r>
    </w:p>
    <w:p>
      <w:pPr>
        <w:adjustRightInd w:val="0"/>
        <w:snapToGrid w:val="0"/>
        <w:spacing w:line="620" w:lineRule="exact"/>
        <w:ind w:left="420" w:firstLine="320" w:firstLineChars="100"/>
        <w:rPr>
          <w:rFonts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作答结束请点击交卷完成答题。示例：</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086610" cy="3689985"/>
            <wp:effectExtent l="0" t="0" r="8890" b="5715"/>
            <wp:docPr id="25" name="图片 25" descr="166086968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0869682776"/>
                    <pic:cNvPicPr>
                      <a:picLocks noChangeAspect="1"/>
                    </pic:cNvPicPr>
                  </pic:nvPicPr>
                  <pic:blipFill>
                    <a:blip r:embed="rId22"/>
                    <a:stretch>
                      <a:fillRect/>
                    </a:stretch>
                  </pic:blipFill>
                  <pic:spPr>
                    <a:xfrm>
                      <a:off x="0" y="0"/>
                      <a:ext cx="2086610" cy="3689985"/>
                    </a:xfrm>
                    <a:prstGeom prst="rect">
                      <a:avLst/>
                    </a:prstGeom>
                  </pic:spPr>
                </pic:pic>
              </a:graphicData>
            </a:graphic>
          </wp:inline>
        </w:drawing>
      </w:r>
    </w:p>
    <w:p>
      <w:pPr>
        <w:adjustRightInd w:val="0"/>
        <w:snapToGrid w:val="0"/>
        <w:spacing w:line="62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3.模拟试测第二监控视角要求</w:t>
      </w:r>
    </w:p>
    <w:p>
      <w:pPr>
        <w:adjustRightInd w:val="0"/>
        <w:snapToGrid w:val="0"/>
        <w:spacing w:line="62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（1）请您提前用手机下载腾讯会议APP，并修改腾讯会议用户名称为自己真实姓名。</w:t>
      </w:r>
    </w:p>
    <w:p>
      <w:pPr>
        <w:adjustRightInd w:val="0"/>
        <w:snapToGrid w:val="0"/>
        <w:spacing w:line="62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（2）试测时登录模拟试测邮件中</w:t>
      </w:r>
      <w:r>
        <w:rPr>
          <w:rFonts w:hint="eastAsia" w:ascii="仿宋_GB2312" w:hAnsi="仿宋_GB2312" w:eastAsia="仿宋_GB2312" w:cs="仿宋_GB2312"/>
          <w:b/>
          <w:bCs/>
          <w:color w:val="000000" w:themeColor="text1"/>
          <w:sz w:val="32"/>
          <w:szCs w:val="32"/>
          <w14:textFill>
            <w14:solidFill>
              <w14:schemeClr w14:val="tx1"/>
            </w14:solidFill>
          </w14:textFill>
        </w:rPr>
        <w:t>模拟试测手机端链接，按提示输入会议号及密码</w:t>
      </w:r>
      <w:r>
        <w:rPr>
          <w:rFonts w:hint="eastAsia" w:ascii="仿宋_GB2312" w:hAnsi="仿宋_GB2312" w:eastAsia="仿宋_GB2312" w:cs="仿宋_GB2312"/>
          <w:color w:val="000000" w:themeColor="text1"/>
          <w:sz w:val="32"/>
          <w:szCs w:val="32"/>
          <w14:textFill>
            <w14:solidFill>
              <w14:schemeClr w14:val="tx1"/>
            </w14:solidFill>
          </w14:textFill>
        </w:rPr>
        <w:t>进入并打开“视频”，将手机放置在可以拍到自己作答环境及全身位置即可（大概在自己侧后方位135度），如下图所示：</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6" w:hRule="atLeast"/>
        </w:trPr>
        <w:tc>
          <w:tcPr>
            <w:tcW w:w="9061" w:type="dxa"/>
          </w:tcPr>
          <w:p>
            <w:pPr>
              <w:adjustRightInd w:val="0"/>
              <w:snapToGrid w:val="0"/>
              <w:spacing w:line="620" w:lineRule="exact"/>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rPr>
              <w:drawing>
                <wp:anchor distT="0" distB="0" distL="114300" distR="114300" simplePos="0" relativeHeight="251662336" behindDoc="0" locked="0" layoutInCell="1" allowOverlap="1">
                  <wp:simplePos x="0" y="0"/>
                  <wp:positionH relativeFrom="column">
                    <wp:posOffset>434975</wp:posOffset>
                  </wp:positionH>
                  <wp:positionV relativeFrom="paragraph">
                    <wp:posOffset>8890</wp:posOffset>
                  </wp:positionV>
                  <wp:extent cx="4667250" cy="2043430"/>
                  <wp:effectExtent l="0" t="0" r="0" b="444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4667250" cy="2043430"/>
                          </a:xfrm>
                          <a:prstGeom prst="rect">
                            <a:avLst/>
                          </a:prstGeom>
                          <a:noFill/>
                          <a:ln>
                            <a:noFill/>
                          </a:ln>
                        </pic:spPr>
                      </pic:pic>
                    </a:graphicData>
                  </a:graphic>
                </wp:anchor>
              </w:drawing>
            </w:r>
          </w:p>
        </w:tc>
      </w:tr>
    </w:tbl>
    <w:p>
      <w:pPr>
        <w:adjustRightInd w:val="0"/>
        <w:snapToGrid w:val="0"/>
        <w:spacing w:line="620" w:lineRule="exact"/>
        <w:ind w:firstLine="640" w:firstLineChars="200"/>
        <w:rPr>
          <w:rFonts w:ascii="仿宋" w:hAnsi="仿宋" w:eastAsia="仿宋" w:cs="仿宋"/>
          <w:color w:val="000000" w:themeColor="text1"/>
          <w:sz w:val="32"/>
          <w:szCs w:val="32"/>
          <w14:textFill>
            <w14:solidFill>
              <w14:schemeClr w14:val="tx1"/>
            </w14:solidFill>
          </w14:textFill>
        </w:rPr>
      </w:pP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（三）正式测评</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正式测评时间为8月21日10:00-11:00。请参加测评的考生根据短信和邮件通知的时间准时登陆答题网址链接和腾讯会议链接（手机端第二监控视角），根据提示输入相关信息，进入系统后根据电脑提示完成测评（操作流程同上）。</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1.测评要求：测评期间需全过程使用外置摄像头和麦克风，需确保电脑摄像头授权，开启，无遮挡；麦克风授权并开启；必须使用电脑测评，不得使用手机和平板电脑进行测评。</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2.测评时电脑端链接（第一监控视角）摄像头放置位置按要求完整的拍摄到考生头部、手部及桌面。手机端链接（第二监控视角）需按要求拍到自己作答环境及全身位置。</w:t>
      </w:r>
    </w:p>
    <w:p>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四、测评环境</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1.测评全过程严格禁止无关人员出入测评场所；</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2.测评期间背景必须真实，不得使用虚拟背景、更换背景；</w:t>
      </w:r>
    </w:p>
    <w:p>
      <w:pPr>
        <w:adjustRightInd w:val="0"/>
        <w:snapToGrid w:val="0"/>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3.除测评要求的设备外，房间其他电子设备必须关闭。</w:t>
      </w:r>
    </w:p>
    <w:p>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bookmarkStart w:id="1" w:name="_Toc2758"/>
      <w:bookmarkStart w:id="2" w:name="_Toc4398"/>
      <w:bookmarkStart w:id="3" w:name="_Toc19260"/>
      <w:bookmarkStart w:id="4" w:name="_Toc67355906"/>
      <w:r>
        <w:rPr>
          <w:rFonts w:hint="eastAsia" w:ascii="黑体" w:hAnsi="黑体" w:eastAsia="黑体" w:cs="黑体"/>
          <w:color w:val="000000" w:themeColor="text1"/>
          <w:sz w:val="32"/>
          <w:szCs w:val="32"/>
          <w14:textFill>
            <w14:solidFill>
              <w14:schemeClr w14:val="tx1"/>
            </w14:solidFill>
          </w14:textFill>
        </w:rPr>
        <w:t>五、测评纪律</w:t>
      </w:r>
      <w:bookmarkEnd w:id="1"/>
      <w:bookmarkEnd w:id="2"/>
      <w:bookmarkEnd w:id="3"/>
      <w:bookmarkEnd w:id="4"/>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为保证测评的公平性和公正性，测评系统将对考生作答过程进行视频和语音监控。出现下列情形之一或其他经监考员确认判定为作弊情形的，按作弊论处，测评成绩无效:</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1.测评过程中关闭电脑摄像头、未按要求开启手机端第二视角，达到3次的；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2.出现遮挡耳部、面部，东张西望，读题等行为，达到3次的；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.测评过程中无故切屏离开作答界面，达到3次的；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.离开视频监控区域，或故意在光线暗处作答的；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5.非本人作答的；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6.测评过程中更换作答人员或有其他人员出现或说话的；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.拍摄试题、翻阅资料的；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.将试题通过各种途径外传的；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.测评过程中佩戴耳机、与他人交头接耳、传递物品、私藏夹带、传递纸条、使用手机、拨打或接听电话的；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.核查发现IP登陆地址超2个的；</w:t>
      </w:r>
    </w:p>
    <w:p>
      <w:pPr>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w:t>
      </w:r>
      <w:r>
        <w:rPr>
          <w:rFonts w:ascii="仿宋_GB2312" w:hAnsi="仿宋_GB2312" w:eastAsia="仿宋_GB2312" w:cs="仿宋_GB2312"/>
          <w:color w:val="000000" w:themeColor="text1"/>
          <w:sz w:val="32"/>
          <w:szCs w:val="32"/>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.经后台发现，确认考生有其他违纪、舞弊行为的。</w:t>
      </w:r>
    </w:p>
    <w:p>
      <w:pPr>
        <w:adjustRightInd w:val="0"/>
        <w:snapToGrid w:val="0"/>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w:t>
      </w:r>
    </w:p>
    <w:sectPr>
      <w:footerReference r:id="rId3" w:type="default"/>
      <w:footerReference r:id="rId4" w:type="even"/>
      <w:pgSz w:w="11906" w:h="16838"/>
      <w:pgMar w:top="2098" w:right="1474"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27913876"/>
    </w:sdtPr>
    <w:sdtEndPr>
      <w:rPr>
        <w:rFonts w:ascii="宋体" w:hAnsi="宋体" w:eastAsia="宋体"/>
        <w:sz w:val="28"/>
        <w:szCs w:val="28"/>
      </w:rPr>
    </w:sdtEndPr>
    <w:sdtContent>
      <w:p>
        <w:pPr>
          <w:pStyle w:val="4"/>
          <w:jc w:val="right"/>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5</w:t>
        </w:r>
        <w:r>
          <w:rPr>
            <w:rFonts w:ascii="宋体" w:hAnsi="宋体" w:eastAsia="宋体"/>
            <w:sz w:val="28"/>
            <w:szCs w:val="28"/>
          </w:rPr>
          <w:fldChar w:fldCharType="end"/>
        </w:r>
        <w:r>
          <w:rPr>
            <w:rFonts w:hint="eastAsia" w:ascii="宋体" w:hAnsi="宋体" w:eastAsia="宋体"/>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132662"/>
    </w:sdtPr>
    <w:sdtEndPr>
      <w:rPr>
        <w:rFonts w:ascii="宋体" w:hAnsi="宋体" w:eastAsia="宋体"/>
        <w:sz w:val="28"/>
        <w:szCs w:val="28"/>
      </w:rPr>
    </w:sdtEndPr>
    <w:sdtContent>
      <w:p>
        <w:pPr>
          <w:pStyle w:val="4"/>
          <w:rPr>
            <w:rFonts w:ascii="宋体" w:hAnsi="宋体" w:eastAsia="宋体"/>
            <w:sz w:val="28"/>
            <w:szCs w:val="28"/>
          </w:rPr>
        </w:pPr>
        <w:r>
          <w:rPr>
            <w:rFonts w:hint="eastAsia" w:ascii="宋体" w:hAnsi="宋体" w:eastAsia="宋体"/>
            <w:sz w:val="28"/>
            <w:szCs w:val="28"/>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6</w:t>
        </w:r>
        <w:r>
          <w:rPr>
            <w:rFonts w:ascii="宋体" w:hAnsi="宋体" w:eastAsia="宋体"/>
            <w:sz w:val="28"/>
            <w:szCs w:val="28"/>
          </w:rPr>
          <w:fldChar w:fldCharType="end"/>
        </w:r>
        <w:r>
          <w:rPr>
            <w:rFonts w:hint="eastAsia" w:ascii="宋体" w:hAnsi="宋体" w:eastAsia="宋体"/>
            <w:sz w:val="28"/>
            <w:szCs w:val="28"/>
          </w:rPr>
          <w:t xml:space="preserve"> —</w:t>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DcxNmU2ZGFjNWI1N2E2MTljYzEwNDY2ODVjOTAifQ=="/>
  </w:docVars>
  <w:rsids>
    <w:rsidRoot w:val="03C559A6"/>
    <w:rsid w:val="00034B48"/>
    <w:rsid w:val="00081E1E"/>
    <w:rsid w:val="00083EDA"/>
    <w:rsid w:val="000844A2"/>
    <w:rsid w:val="000B089E"/>
    <w:rsid w:val="000D267D"/>
    <w:rsid w:val="00137C43"/>
    <w:rsid w:val="00157F1E"/>
    <w:rsid w:val="0025157B"/>
    <w:rsid w:val="00290F35"/>
    <w:rsid w:val="002A6031"/>
    <w:rsid w:val="00347450"/>
    <w:rsid w:val="003A77AA"/>
    <w:rsid w:val="0043408C"/>
    <w:rsid w:val="00485977"/>
    <w:rsid w:val="004C600D"/>
    <w:rsid w:val="004D59BA"/>
    <w:rsid w:val="004E6FC3"/>
    <w:rsid w:val="0054684C"/>
    <w:rsid w:val="00600821"/>
    <w:rsid w:val="0061091B"/>
    <w:rsid w:val="006232A1"/>
    <w:rsid w:val="00632FE8"/>
    <w:rsid w:val="006762A4"/>
    <w:rsid w:val="006D1283"/>
    <w:rsid w:val="006D3836"/>
    <w:rsid w:val="0077743A"/>
    <w:rsid w:val="00785EDA"/>
    <w:rsid w:val="007B2CAB"/>
    <w:rsid w:val="007F76B2"/>
    <w:rsid w:val="00846D76"/>
    <w:rsid w:val="008729D3"/>
    <w:rsid w:val="008852B0"/>
    <w:rsid w:val="00913EA8"/>
    <w:rsid w:val="00953B35"/>
    <w:rsid w:val="009727D4"/>
    <w:rsid w:val="009E4800"/>
    <w:rsid w:val="00A05EF8"/>
    <w:rsid w:val="00A56A46"/>
    <w:rsid w:val="00A95A2F"/>
    <w:rsid w:val="00AE1F0B"/>
    <w:rsid w:val="00B35657"/>
    <w:rsid w:val="00BA111C"/>
    <w:rsid w:val="00BB33D7"/>
    <w:rsid w:val="00C03403"/>
    <w:rsid w:val="00C52134"/>
    <w:rsid w:val="00CB53F5"/>
    <w:rsid w:val="00CC0440"/>
    <w:rsid w:val="00D37B10"/>
    <w:rsid w:val="00D42506"/>
    <w:rsid w:val="00D64572"/>
    <w:rsid w:val="00D8389A"/>
    <w:rsid w:val="00D97EE7"/>
    <w:rsid w:val="00E4071E"/>
    <w:rsid w:val="00E474B3"/>
    <w:rsid w:val="00E47814"/>
    <w:rsid w:val="00E7728F"/>
    <w:rsid w:val="00EE6A1D"/>
    <w:rsid w:val="00EF48BF"/>
    <w:rsid w:val="00F80319"/>
    <w:rsid w:val="00FD2943"/>
    <w:rsid w:val="00FE2C86"/>
    <w:rsid w:val="016845BC"/>
    <w:rsid w:val="016C1D39"/>
    <w:rsid w:val="02B26E88"/>
    <w:rsid w:val="038E23E3"/>
    <w:rsid w:val="039E0975"/>
    <w:rsid w:val="03C559A6"/>
    <w:rsid w:val="04784101"/>
    <w:rsid w:val="047D7C2E"/>
    <w:rsid w:val="06226CDD"/>
    <w:rsid w:val="06254119"/>
    <w:rsid w:val="07EF1D18"/>
    <w:rsid w:val="096E2C6D"/>
    <w:rsid w:val="099052B9"/>
    <w:rsid w:val="0A2D0241"/>
    <w:rsid w:val="0A6E0E06"/>
    <w:rsid w:val="0B55787F"/>
    <w:rsid w:val="0B7058D2"/>
    <w:rsid w:val="0D1C23B3"/>
    <w:rsid w:val="0D904C44"/>
    <w:rsid w:val="0DFA341A"/>
    <w:rsid w:val="0E8F7665"/>
    <w:rsid w:val="0F8C0A60"/>
    <w:rsid w:val="10311DB9"/>
    <w:rsid w:val="10AC73CE"/>
    <w:rsid w:val="11B53130"/>
    <w:rsid w:val="11E5783F"/>
    <w:rsid w:val="129242E8"/>
    <w:rsid w:val="14696968"/>
    <w:rsid w:val="14CB0B39"/>
    <w:rsid w:val="17DC15F8"/>
    <w:rsid w:val="189F35B2"/>
    <w:rsid w:val="1975021A"/>
    <w:rsid w:val="19801B53"/>
    <w:rsid w:val="1A7B58FA"/>
    <w:rsid w:val="1AE37FA6"/>
    <w:rsid w:val="1CAC629E"/>
    <w:rsid w:val="1D192283"/>
    <w:rsid w:val="1F680BA2"/>
    <w:rsid w:val="1F7825FA"/>
    <w:rsid w:val="209551B9"/>
    <w:rsid w:val="21AC5E36"/>
    <w:rsid w:val="22AD34D7"/>
    <w:rsid w:val="22F46669"/>
    <w:rsid w:val="23812232"/>
    <w:rsid w:val="23C03CE8"/>
    <w:rsid w:val="27734588"/>
    <w:rsid w:val="27B17D40"/>
    <w:rsid w:val="27BB1A8B"/>
    <w:rsid w:val="28312EF0"/>
    <w:rsid w:val="29112DC3"/>
    <w:rsid w:val="296248B4"/>
    <w:rsid w:val="29670426"/>
    <w:rsid w:val="2A633245"/>
    <w:rsid w:val="2D8B23AD"/>
    <w:rsid w:val="2E416C9B"/>
    <w:rsid w:val="2F346618"/>
    <w:rsid w:val="30DA3ED7"/>
    <w:rsid w:val="31CC2737"/>
    <w:rsid w:val="32457D99"/>
    <w:rsid w:val="325101A8"/>
    <w:rsid w:val="32DA235F"/>
    <w:rsid w:val="3304504D"/>
    <w:rsid w:val="34884EFB"/>
    <w:rsid w:val="351533BE"/>
    <w:rsid w:val="352862F0"/>
    <w:rsid w:val="35556E62"/>
    <w:rsid w:val="35927B64"/>
    <w:rsid w:val="368A3137"/>
    <w:rsid w:val="37212018"/>
    <w:rsid w:val="39027C03"/>
    <w:rsid w:val="390C590C"/>
    <w:rsid w:val="39D709A6"/>
    <w:rsid w:val="3B0C73FC"/>
    <w:rsid w:val="3B5657D2"/>
    <w:rsid w:val="3CF967AC"/>
    <w:rsid w:val="3D031C6B"/>
    <w:rsid w:val="3D684782"/>
    <w:rsid w:val="3DD2625D"/>
    <w:rsid w:val="3DD75419"/>
    <w:rsid w:val="3FBA0A8D"/>
    <w:rsid w:val="3FF05684"/>
    <w:rsid w:val="40266811"/>
    <w:rsid w:val="40273FED"/>
    <w:rsid w:val="41C00ADB"/>
    <w:rsid w:val="42107BFE"/>
    <w:rsid w:val="43FD193C"/>
    <w:rsid w:val="448B2AB9"/>
    <w:rsid w:val="45A81FA8"/>
    <w:rsid w:val="45CD1983"/>
    <w:rsid w:val="46CA2E2F"/>
    <w:rsid w:val="47CA511A"/>
    <w:rsid w:val="48BB1BC2"/>
    <w:rsid w:val="49C77B1C"/>
    <w:rsid w:val="4A7E7806"/>
    <w:rsid w:val="4B410360"/>
    <w:rsid w:val="4C985046"/>
    <w:rsid w:val="4D0A29E9"/>
    <w:rsid w:val="4F00756B"/>
    <w:rsid w:val="4F9C28EE"/>
    <w:rsid w:val="50471E87"/>
    <w:rsid w:val="50AF5D81"/>
    <w:rsid w:val="50D92DFE"/>
    <w:rsid w:val="51181086"/>
    <w:rsid w:val="51183927"/>
    <w:rsid w:val="51A13D3E"/>
    <w:rsid w:val="52E825E3"/>
    <w:rsid w:val="540E690E"/>
    <w:rsid w:val="541954E7"/>
    <w:rsid w:val="564F26AF"/>
    <w:rsid w:val="565C6063"/>
    <w:rsid w:val="56BD18EC"/>
    <w:rsid w:val="5826793A"/>
    <w:rsid w:val="58436536"/>
    <w:rsid w:val="59553589"/>
    <w:rsid w:val="59D66B5C"/>
    <w:rsid w:val="5A006799"/>
    <w:rsid w:val="5B071D01"/>
    <w:rsid w:val="5B6B41F7"/>
    <w:rsid w:val="5BD86D9E"/>
    <w:rsid w:val="5E374083"/>
    <w:rsid w:val="5EFB4CA5"/>
    <w:rsid w:val="5F006443"/>
    <w:rsid w:val="5FB1765F"/>
    <w:rsid w:val="61386B7E"/>
    <w:rsid w:val="61493688"/>
    <w:rsid w:val="633B34A5"/>
    <w:rsid w:val="63AE1EC8"/>
    <w:rsid w:val="65FB6B27"/>
    <w:rsid w:val="666176C6"/>
    <w:rsid w:val="681903F3"/>
    <w:rsid w:val="68CA62AE"/>
    <w:rsid w:val="6A5D7549"/>
    <w:rsid w:val="6AF743B5"/>
    <w:rsid w:val="6C7541B5"/>
    <w:rsid w:val="6CD84A68"/>
    <w:rsid w:val="71463D9A"/>
    <w:rsid w:val="71530A48"/>
    <w:rsid w:val="71C11019"/>
    <w:rsid w:val="720003F3"/>
    <w:rsid w:val="74380AD4"/>
    <w:rsid w:val="748A603A"/>
    <w:rsid w:val="757C55FD"/>
    <w:rsid w:val="75856710"/>
    <w:rsid w:val="75C06682"/>
    <w:rsid w:val="77073C75"/>
    <w:rsid w:val="7762278A"/>
    <w:rsid w:val="779A5BC2"/>
    <w:rsid w:val="77DC1A73"/>
    <w:rsid w:val="78834D98"/>
    <w:rsid w:val="78A001EF"/>
    <w:rsid w:val="78E52A6B"/>
    <w:rsid w:val="79292B2C"/>
    <w:rsid w:val="79B723AF"/>
    <w:rsid w:val="7B746AC1"/>
    <w:rsid w:val="7D6D3057"/>
    <w:rsid w:val="7D7D0E0F"/>
    <w:rsid w:val="7D832E70"/>
    <w:rsid w:val="7D9A0CE1"/>
    <w:rsid w:val="7DF42E0E"/>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semiHidden/>
    <w:unhideWhenUsed/>
    <w:qFormat/>
    <w:uiPriority w:val="0"/>
    <w:pPr>
      <w:keepNext/>
      <w:spacing w:before="240" w:after="60"/>
      <w:outlineLvl w:val="3"/>
    </w:pPr>
    <w:rPr>
      <w:rFonts w:ascii="Times New Roman" w:hAnsi="Times New Roman" w:eastAsia="宋体" w:cs="Times New Roman"/>
      <w:b/>
      <w:bCs/>
      <w:sz w:val="28"/>
      <w:szCs w:val="28"/>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uiPriority w:val="0"/>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layui-this"/>
    <w:basedOn w:val="9"/>
    <w:qFormat/>
    <w:uiPriority w:val="0"/>
    <w:rPr>
      <w:bdr w:val="single" w:color="EEEEEE" w:sz="6" w:space="0"/>
      <w:shd w:val="clear" w:color="auto" w:fill="FFFFFF"/>
    </w:rPr>
  </w:style>
  <w:style w:type="character" w:customStyle="1" w:styleId="11">
    <w:name w:val="first-child"/>
    <w:basedOn w:val="9"/>
    <w:qFormat/>
    <w:uiPriority w:val="0"/>
  </w:style>
  <w:style w:type="character" w:customStyle="1" w:styleId="12">
    <w:name w:val="页眉 字符"/>
    <w:basedOn w:val="9"/>
    <w:link w:val="5"/>
    <w:qFormat/>
    <w:uiPriority w:val="0"/>
    <w:rPr>
      <w:rFonts w:asciiTheme="minorHAnsi" w:hAnsiTheme="minorHAnsi" w:eastAsiaTheme="minorEastAsia" w:cstheme="minorBidi"/>
      <w:kern w:val="2"/>
      <w:sz w:val="18"/>
      <w:szCs w:val="18"/>
    </w:rPr>
  </w:style>
  <w:style w:type="character" w:customStyle="1" w:styleId="13">
    <w:name w:val="页脚 字符"/>
    <w:basedOn w:val="9"/>
    <w:link w:val="4"/>
    <w:qFormat/>
    <w:uiPriority w:val="99"/>
    <w:rPr>
      <w:rFonts w:asciiTheme="minorHAnsi" w:hAnsiTheme="minorHAnsi" w:eastAsiaTheme="minorEastAsia" w:cstheme="minorBidi"/>
      <w:kern w:val="2"/>
      <w:sz w:val="18"/>
      <w:szCs w:val="18"/>
    </w:rPr>
  </w:style>
  <w:style w:type="paragraph" w:styleId="14">
    <w:name w:val="List Paragraph"/>
    <w:basedOn w:val="1"/>
    <w:qFormat/>
    <w:uiPriority w:val="34"/>
    <w:pPr>
      <w:ind w:firstLine="420" w:firstLineChars="200"/>
    </w:pPr>
  </w:style>
  <w:style w:type="character" w:customStyle="1" w:styleId="15">
    <w:name w:val="批注框文本 字符"/>
    <w:basedOn w:val="9"/>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2284</Words>
  <Characters>2402</Characters>
  <Lines>17</Lines>
  <Paragraphs>5</Paragraphs>
  <TotalTime>36</TotalTime>
  <ScaleCrop>false</ScaleCrop>
  <LinksUpToDate>false</LinksUpToDate>
  <CharactersWithSpaces>2406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2021-04-23T04:49:00Z</dcterms:created>
  <dc:creator>张骥</dc:creator>
  <cp:lastModifiedBy>冰箱里面吃冰糕</cp:lastModifiedBy>
  <cp:lastPrinted>2022-08-19T07:04:00Z</cp:lastPrinted>
  <dcterms:modified xsi:type="dcterms:W3CDTF">2022-08-19T08:34:39Z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287CF60736FC43E78EBBF72106692EEE</vt:lpwstr>
  </property>
</Properties>
</file>