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体检前三天请保持清淡饮食，勿饮酒、勿食用过于油腻和高蛋白食物，避免剧烈运动。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体检前夜22:00后禁饮食（8-10小时空腹）。在采血、彩超（肝胆胰脾双肾超声）项目检查结束后方可饮水、进食。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妇科彩超、膀胱彩超，须饮水憋尿有尿意时方可进行。妇科检查（宫颈涂片等）需排空膀胱（排尿）后方可检查。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体检者衣着宽松，方便检查，女性体检者勿穿连腿袜、连衣裙体检，上衣不要有修饰品影响胸部数字成像结果。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体检结束后，请务必把体检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表等材料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交回。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WM2NWI0MTk4NTYwZThjNzkzODcyM2U4ZGMwNWRlNTAifQ=="/>
  </w:docVars>
  <w:rsids>
    <w:rsidRoot w:val="00000000"/>
    <w:rsid w:val="03881953"/>
    <w:rsid w:val="07D3761D"/>
    <w:rsid w:val="07DC7BDC"/>
    <w:rsid w:val="0AB82341"/>
    <w:rsid w:val="123A159E"/>
    <w:rsid w:val="14503344"/>
    <w:rsid w:val="20426C24"/>
    <w:rsid w:val="3C2B32E8"/>
    <w:rsid w:val="60D22F25"/>
    <w:rsid w:val="71237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dcterms:modified xsi:type="dcterms:W3CDTF">2022-08-16T06:51:11Z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7A2BE4D523224FBDA4D0C2E36E66D6E2</vt:lpwstr>
  </property>
</Properties>
</file>