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附件</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黔西市人力资源和社会保障局</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关于</w:t>
      </w:r>
      <w:r>
        <w:rPr>
          <w:rFonts w:hint="eastAsia" w:ascii="黑体" w:hAnsi="黑体" w:eastAsia="黑体" w:cs="黑体"/>
          <w:b/>
          <w:bCs/>
          <w:sz w:val="44"/>
          <w:szCs w:val="44"/>
          <w:lang w:val="en-US" w:eastAsia="zh-CN"/>
        </w:rPr>
        <w:t>公开遴选第三方服务机构对黔西市驻浙江省、福建省劳务协作工作站开展就业服务工作</w:t>
      </w:r>
      <w:r>
        <w:rPr>
          <w:rFonts w:hint="eastAsia" w:ascii="黑体" w:hAnsi="黑体" w:eastAsia="黑体" w:cs="黑体"/>
          <w:b/>
          <w:bCs/>
          <w:sz w:val="44"/>
          <w:szCs w:val="44"/>
          <w:lang w:eastAsia="zh-CN"/>
        </w:rPr>
        <w:t>的考核实施细则</w:t>
      </w:r>
    </w:p>
    <w:p>
      <w:pPr>
        <w:jc w:val="both"/>
        <w:rPr>
          <w:rFonts w:hint="eastAsia" w:ascii="仿宋_GB2312" w:hAnsi="仿宋_GB2312" w:eastAsia="仿宋_GB2312" w:cs="仿宋_GB2312"/>
          <w:b w:val="0"/>
          <w:bCs w:val="0"/>
          <w:sz w:val="32"/>
          <w:szCs w:val="32"/>
          <w:lang w:val="en-US" w:eastAsia="zh-CN"/>
        </w:rPr>
      </w:pPr>
    </w:p>
    <w:p>
      <w:p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为进一步加强我市驻浙江省温州市（龙湾区）、义乌市，福建省莆田市等3个劳务协作站（点）建设和管理，充分发挥劳务协作工作站的作用，根据《东西部协作框架协议》《关于切实加强就业帮扶巩固脱贫攻坚成果助力乡村振兴的实施意见》以及《贵州省劳务协作站（点）建设与管理办法（试行）》等文件要求，结合我市实际，拟通过政府购买服务方式开展东西部劳务协作相关工作，特制定考核实施方案如下：</w:t>
      </w:r>
    </w:p>
    <w:p>
      <w:pPr>
        <w:numPr>
          <w:ilvl w:val="0"/>
          <w:numId w:val="1"/>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购买服务依据</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根据《省人力资源社会保障厅关于印发</w:t>
      </w:r>
      <w:r>
        <w:rPr>
          <w:rFonts w:hint="eastAsia" w:ascii="宋体" w:hAnsi="宋体" w:eastAsia="宋体" w:cs="宋体"/>
          <w:b w:val="0"/>
          <w:bCs w:val="0"/>
          <w:sz w:val="32"/>
          <w:szCs w:val="32"/>
          <w:lang w:val="en-US" w:eastAsia="zh-CN"/>
        </w:rPr>
        <w:t>&lt;</w:t>
      </w:r>
      <w:r>
        <w:rPr>
          <w:rFonts w:hint="eastAsia" w:ascii="仿宋_GB2312" w:hAnsi="仿宋_GB2312" w:eastAsia="仿宋_GB2312" w:cs="仿宋_GB2312"/>
          <w:b w:val="0"/>
          <w:bCs w:val="0"/>
          <w:sz w:val="32"/>
          <w:szCs w:val="32"/>
          <w:lang w:val="en-US" w:eastAsia="zh-CN"/>
        </w:rPr>
        <w:t>贵州省劳务协作站（点）建设与管理办法（试行）</w:t>
      </w:r>
      <w:r>
        <w:rPr>
          <w:rFonts w:hint="eastAsia" w:ascii="宋体" w:hAnsi="宋体" w:eastAsia="宋体" w:cs="宋体"/>
          <w:b w:val="0"/>
          <w:bCs w:val="0"/>
          <w:sz w:val="32"/>
          <w:szCs w:val="32"/>
          <w:lang w:val="en-US" w:eastAsia="zh-CN"/>
        </w:rPr>
        <w:t>&gt;</w:t>
      </w:r>
      <w:r>
        <w:rPr>
          <w:rFonts w:hint="eastAsia" w:ascii="仿宋_GB2312" w:hAnsi="仿宋_GB2312" w:eastAsia="仿宋_GB2312" w:cs="仿宋_GB2312"/>
          <w:b w:val="0"/>
          <w:bCs w:val="0"/>
          <w:sz w:val="32"/>
          <w:szCs w:val="32"/>
          <w:lang w:val="en-US" w:eastAsia="zh-CN"/>
        </w:rPr>
        <w:t>的通知》（黔人社通</w:t>
      </w:r>
      <w:r>
        <w:rPr>
          <w:rFonts w:hint="eastAsia" w:ascii="仿宋" w:hAnsi="仿宋" w:eastAsia="仿宋" w:cs="仿宋"/>
          <w:b w:val="0"/>
          <w:bCs w:val="0"/>
          <w:sz w:val="32"/>
          <w:szCs w:val="32"/>
          <w:lang w:val="en-US" w:eastAsia="zh-CN"/>
        </w:rPr>
        <w:t>〔2021〕204号</w:t>
      </w:r>
      <w:r>
        <w:rPr>
          <w:rFonts w:hint="eastAsia" w:ascii="仿宋_GB2312" w:hAnsi="仿宋_GB2312" w:eastAsia="仿宋_GB2312" w:cs="仿宋_GB2312"/>
          <w:b w:val="0"/>
          <w:bCs w:val="0"/>
          <w:sz w:val="32"/>
          <w:szCs w:val="32"/>
          <w:lang w:val="en-US" w:eastAsia="zh-CN"/>
        </w:rPr>
        <w:t>）文件要求：“第三条、各地可通过政府购买服务，依托具有相应资质、规模和社会信誉良好的人力资源机构等方式建立劳务协作站。”我市2022年度将通过购买服务方式选择具有社会信誉良好的人力资源机构来开展劳务协作工作。</w:t>
      </w:r>
    </w:p>
    <w:p>
      <w:pPr>
        <w:numPr>
          <w:ilvl w:val="0"/>
          <w:numId w:val="1"/>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工作职责</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岗位信息收集。负责分析、调研驻地劳动力市场需求情况，收集驻地用工稳定、待遇较高的企业用工信息、当地紧缺工种和重点企业招工需求，并根据我市农村劳动力文化水平和劳动技能基本情况，筛选、整理合适的就业岗位，定期反馈到黔西市人社部门，提高劳务输出成功率和就业的稳定程度。</w:t>
      </w:r>
    </w:p>
    <w:p>
      <w:pPr>
        <w:numPr>
          <w:ilvl w:val="0"/>
          <w:numId w:val="2"/>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企业走访。加强对输入地的招工企业、园区以及人力资源服务机构的走访，特别是对吸纳黔西籍务工人员较多的企业和园区进行专访，建立重点企业信息台账，积极走访口碑好、实力强、有责任的人力资源服务机构，并与其建立长期的劳务合作关系。</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建立联系机制。加强与对口帮扶地人社部门的沟通对接，建立长效工作对接机制，会同督促指导企业按照同工同酬原则，落实工时制度，合理确定劳动报酬标准，依法参加社会保险，切实维护黔西籍在外务工人员的合法权益。</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建立台账资料。黔西市人社部门具体负责指导、监督和考核劳务协作站（点）的各项工作，购买服务的人力资源机构负责劳务协作工作，同时建立并完善劳务协作站（点）工作台账，具体包括外出务工人员信息台账、岗位信息台账、黔西籍务工人员集中分布企业信息台账、黔西籍创业成功人士台账、每年输送劳动力名册及劳动合同或劳务协议、其他相关资料。</w:t>
      </w:r>
    </w:p>
    <w:p>
      <w:pPr>
        <w:numPr>
          <w:ilvl w:val="0"/>
          <w:numId w:val="1"/>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工作绩效考核内容</w:t>
      </w:r>
    </w:p>
    <w:p>
      <w:pPr>
        <w:numPr>
          <w:ilvl w:val="0"/>
          <w:numId w:val="3"/>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础建设（15分）。黔西市在浙江省温州市（龙湾区）、义乌市，福建莆田市等地有固定的服务场所，场所选址恰当，统一挂牌。管理制度健全，有专职人员负责劳务协作站（点）的运行管理工作，驻站专职人员每月驻站工作考勤不少于15天，具体考勤以浙江省温州市（龙湾区）、义乌市以及福建莆田市人社部门出据的考勤为准。</w:t>
      </w:r>
    </w:p>
    <w:p>
      <w:pPr>
        <w:numPr>
          <w:ilvl w:val="0"/>
          <w:numId w:val="3"/>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成效（65分）。协调浙江省温州市（龙湾区）、义乌市以及福建莆田市人社部门、企业与我市有关部门共同开展招聘会、校企合作等各种形式劳务对接活动；黔西籍务工人员的有组织劳务输出工作成效，包括有组织输出就业人数、就业稳定性、跟踪服务情况；组织驻地黔西籍务工人员参加培训；定期对接走访企业、园区、人力资源机构，建立劳务输出基地、引进人力资源公司；配合浙江省温州市（龙湾区）、义乌市以及福建莆田市人社部门开展稳岗工作；为我市劳动力提供岗位推荐、法律咨询、劳动维权等服务、帮助化解劳资纠纷情况；鼓励引导至少1名有创业意愿的黔西籍成功人士返乡创业。</w:t>
      </w:r>
    </w:p>
    <w:p>
      <w:pPr>
        <w:numPr>
          <w:ilvl w:val="0"/>
          <w:numId w:val="3"/>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台账建立（10分）。及时建立《外出务工人员信息台账》《岗位信息台账》《黔籍务工人员集中分布企业信息台账》《黔籍创业成功人士台账》，收集汇总在输入地开展对接、交流、推介、合作、服务等情况，每季度末集中报送人社部门。</w:t>
      </w:r>
    </w:p>
    <w:p>
      <w:pPr>
        <w:numPr>
          <w:ilvl w:val="0"/>
          <w:numId w:val="3"/>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信息报送（10分）。《劳务协作站（点）工作落实情况表》报表、岗位信息反馈、工作总结等材料的报送情况，必须在规定时间内按要求报送，确保数据真实可靠。</w:t>
      </w:r>
    </w:p>
    <w:p>
      <w:pPr>
        <w:numPr>
          <w:ilvl w:val="0"/>
          <w:numId w:val="1"/>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考核及补贴拨付标准</w:t>
      </w:r>
    </w:p>
    <w:p>
      <w:pPr>
        <w:numPr>
          <w:ilvl w:val="0"/>
          <w:numId w:val="4"/>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考核结果。2022年度我市购买服务的人力资源机构将对照年度考核实施细则工作绩效考核内容完成情况进行补贴拨付。2022年此项工作已根据考核实施细则工作绩效考核内容所属分值拨付所有购买服务补贴。分值91-100分拨付补贴的100%；分值81-90分拨付补贴的95%；分值71-80分拨付补贴的85%；70分及以下属于考核不合格将不予拨付剩余尾款。 </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购买服务补贴的拨付。对确定为我市对温州市（龙湾区）、义乌市以及莆田市劳务协作的人力资源机构购买服务补贴严格按照季度进行拨付，签订购买服务协议后预拨总款项的40%作为我市2022年度东西部劳务协作工作站（点）的启动资金，剩余60%的款项将根据黔西市2022年度劳务协作工作的考核实施细则中工作绩效考核内容结果进行结算。</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（三）其他事项。本考核实施细则由黔西市人力资源和社会保障局负责解释，考核内容和标准如遇调整，具体以黔西市的考核文件要求为准。</w:t>
      </w:r>
    </w:p>
    <w:p>
      <w:pPr>
        <w:numPr>
          <w:ilvl w:val="0"/>
          <w:numId w:val="1"/>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附则</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如我市驻浙江省、福建省劳务协作工作站开展就业服务工作未达到考核实施细则相关要求的，我局有权终止与购买服务人力资源机构的协议。</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附件：1.评审标准</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2.评分细则</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bidi w:val="0"/>
        <w:rPr>
          <w:rFonts w:hint="default"/>
          <w:lang w:val="en-US" w:eastAsia="zh-CN"/>
        </w:rPr>
      </w:pPr>
      <w:r>
        <w:rPr>
          <w:rFonts w:hint="eastAsia" w:ascii="黑体" w:hAnsi="黑体" w:eastAsia="黑体" w:cs="黑体"/>
          <w:kern w:val="2"/>
          <w:sz w:val="32"/>
          <w:szCs w:val="32"/>
          <w:lang w:val="en-US" w:eastAsia="zh-CN" w:bidi="ar-SA"/>
        </w:rPr>
        <w:t>附件1</w:t>
      </w:r>
    </w:p>
    <w:p>
      <w:pPr>
        <w:keepNext w:val="0"/>
        <w:keepLines w:val="0"/>
        <w:pageBreakBefore w:val="0"/>
        <w:widowControl/>
        <w:kinsoku/>
        <w:wordWrap/>
        <w:overflowPunct/>
        <w:topLinePunct w:val="0"/>
        <w:bidi w:val="0"/>
        <w:snapToGrid/>
        <w:spacing w:before="157" w:beforeLines="50" w:after="157" w:afterLines="50" w:line="360" w:lineRule="auto"/>
        <w:ind w:left="105" w:leftChars="50" w:right="105" w:rightChars="50" w:firstLine="320" w:firstLineChars="100"/>
        <w:jc w:val="center"/>
        <w:rPr>
          <w:rFonts w:hint="eastAsia"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评审标准</w:t>
      </w:r>
    </w:p>
    <w:p>
      <w:pPr>
        <w:keepNext w:val="0"/>
        <w:keepLines w:val="0"/>
        <w:pageBreakBefore w:val="0"/>
        <w:widowControl w:val="0"/>
        <w:kinsoku/>
        <w:wordWrap/>
        <w:overflowPunct/>
        <w:topLinePunct w:val="0"/>
        <w:autoSpaceDE w:val="0"/>
        <w:autoSpaceDN w:val="0"/>
        <w:bidi w:val="0"/>
        <w:snapToGrid/>
        <w:spacing w:before="157" w:beforeLines="50" w:after="157" w:afterLines="50" w:line="360" w:lineRule="auto"/>
        <w:ind w:left="105" w:leftChars="50" w:right="105" w:rightChars="50"/>
        <w:jc w:val="left"/>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（一）资格评审</w:t>
      </w:r>
    </w:p>
    <w:tbl>
      <w:tblPr>
        <w:tblStyle w:val="4"/>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4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145" w:type="dxa"/>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1541" w:type="dxa"/>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b/>
                <w:bCs/>
                <w:sz w:val="32"/>
                <w:szCs w:val="32"/>
              </w:rPr>
            </w:pPr>
            <w:r>
              <w:rPr>
                <w:rFonts w:hint="eastAsia" w:ascii="仿宋" w:hAnsi="仿宋" w:eastAsia="仿宋" w:cs="仿宋"/>
                <w:b/>
                <w:bCs/>
                <w:sz w:val="32"/>
                <w:szCs w:val="32"/>
              </w:rPr>
              <w:t>评审</w:t>
            </w:r>
          </w:p>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b/>
                <w:bCs/>
                <w:sz w:val="32"/>
                <w:szCs w:val="32"/>
              </w:rPr>
            </w:pPr>
            <w:r>
              <w:rPr>
                <w:rFonts w:hint="eastAsia" w:ascii="仿宋" w:hAnsi="仿宋" w:eastAsia="仿宋" w:cs="仿宋"/>
                <w:b/>
                <w:bCs/>
                <w:sz w:val="32"/>
                <w:szCs w:val="32"/>
              </w:rPr>
              <w:t>项目</w:t>
            </w:r>
          </w:p>
        </w:tc>
        <w:tc>
          <w:tcPr>
            <w:tcW w:w="6253" w:type="dxa"/>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b/>
                <w:bCs/>
                <w:sz w:val="32"/>
                <w:szCs w:val="32"/>
              </w:rPr>
            </w:pPr>
            <w:r>
              <w:rPr>
                <w:rFonts w:hint="eastAsia" w:ascii="仿宋" w:hAnsi="仿宋" w:eastAsia="仿宋" w:cs="仿宋"/>
                <w:b/>
                <w:bCs/>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5" w:type="dxa"/>
            <w:vMerge w:val="restart"/>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154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157" w:beforeLines="50" w:after="157" w:afterLines="50" w:line="360" w:lineRule="auto"/>
              <w:ind w:left="105" w:leftChars="50" w:right="105" w:rightChars="50"/>
              <w:jc w:val="center"/>
              <w:rPr>
                <w:rFonts w:hint="eastAsia" w:ascii="仿宋" w:hAnsi="仿宋" w:eastAsia="仿宋" w:cs="仿宋"/>
                <w:sz w:val="32"/>
                <w:szCs w:val="32"/>
              </w:rPr>
            </w:pPr>
            <w:r>
              <w:rPr>
                <w:rFonts w:hint="eastAsia" w:ascii="仿宋" w:hAnsi="仿宋" w:eastAsia="仿宋" w:cs="仿宋"/>
                <w:sz w:val="32"/>
                <w:szCs w:val="32"/>
              </w:rPr>
              <w:t>资格评审标准</w:t>
            </w:r>
          </w:p>
        </w:tc>
        <w:tc>
          <w:tcPr>
            <w:tcW w:w="6253" w:type="dxa"/>
            <w:noWrap w:val="0"/>
            <w:vAlign w:val="center"/>
          </w:tcPr>
          <w:p>
            <w:pPr>
              <w:keepNext w:val="0"/>
              <w:keepLines w:val="0"/>
              <w:pageBreakBefore w:val="0"/>
              <w:kinsoku/>
              <w:wordWrap/>
              <w:overflowPunct/>
              <w:topLinePunct w:val="0"/>
              <w:autoSpaceDE w:val="0"/>
              <w:autoSpaceDN w:val="0"/>
              <w:bidi w:val="0"/>
              <w:adjustRightInd w:val="0"/>
              <w:snapToGrid/>
              <w:spacing w:before="157" w:beforeLines="50" w:after="157" w:afterLines="50" w:line="360" w:lineRule="auto"/>
              <w:ind w:right="105" w:rightChars="50"/>
              <w:jc w:val="left"/>
              <w:rPr>
                <w:rFonts w:hint="eastAsia" w:ascii="仿宋" w:hAnsi="仿宋" w:eastAsia="仿宋" w:cs="仿宋"/>
                <w:sz w:val="32"/>
                <w:szCs w:val="32"/>
              </w:rPr>
            </w:pPr>
            <w:r>
              <w:rPr>
                <w:rFonts w:hint="eastAsia" w:ascii="仿宋" w:hAnsi="仿宋" w:eastAsia="仿宋" w:cs="仿宋"/>
                <w:kern w:val="0"/>
                <w:sz w:val="32"/>
                <w:szCs w:val="32"/>
              </w:rPr>
              <w:t>1.投标人须提供有效工商营业执照（原件或复印件加盖公章）；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145" w:type="dxa"/>
            <w:vMerge w:val="continue"/>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24"/>
                <w:szCs w:val="24"/>
              </w:rPr>
            </w:pPr>
          </w:p>
        </w:tc>
        <w:tc>
          <w:tcPr>
            <w:tcW w:w="154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157" w:beforeLines="50" w:after="157" w:afterLines="50" w:line="360" w:lineRule="auto"/>
              <w:ind w:left="105" w:leftChars="50" w:right="105" w:rightChars="50"/>
              <w:jc w:val="center"/>
              <w:rPr>
                <w:rFonts w:hint="eastAsia" w:ascii="仿宋" w:hAnsi="仿宋" w:eastAsia="仿宋" w:cs="仿宋"/>
                <w:sz w:val="32"/>
                <w:szCs w:val="32"/>
              </w:rPr>
            </w:pPr>
          </w:p>
        </w:tc>
        <w:tc>
          <w:tcPr>
            <w:tcW w:w="6253" w:type="dxa"/>
            <w:noWrap w:val="0"/>
            <w:vAlign w:val="center"/>
          </w:tcPr>
          <w:p>
            <w:pPr>
              <w:keepNext w:val="0"/>
              <w:keepLines w:val="0"/>
              <w:pageBreakBefore w:val="0"/>
              <w:kinsoku/>
              <w:wordWrap/>
              <w:overflowPunct/>
              <w:topLinePunct w:val="0"/>
              <w:autoSpaceDE w:val="0"/>
              <w:autoSpaceDN w:val="0"/>
              <w:bidi w:val="0"/>
              <w:adjustRightInd w:val="0"/>
              <w:snapToGrid/>
              <w:spacing w:before="157" w:beforeLines="50" w:after="157" w:afterLines="50" w:line="360" w:lineRule="auto"/>
              <w:ind w:right="105" w:rightChars="50"/>
              <w:jc w:val="left"/>
              <w:rPr>
                <w:rFonts w:hint="eastAsia" w:ascii="仿宋" w:hAnsi="仿宋" w:eastAsia="仿宋" w:cs="仿宋"/>
                <w:sz w:val="32"/>
                <w:szCs w:val="32"/>
              </w:rPr>
            </w:pPr>
            <w:r>
              <w:rPr>
                <w:rFonts w:hint="eastAsia" w:ascii="仿宋" w:hAnsi="仿宋" w:eastAsia="仿宋" w:cs="仿宋"/>
                <w:kern w:val="0"/>
                <w:sz w:val="32"/>
                <w:szCs w:val="32"/>
              </w:rPr>
              <w:t>2.在中国境内注册并具有独立法人资格的合法企业；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45" w:type="dxa"/>
            <w:vMerge w:val="continue"/>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24"/>
                <w:szCs w:val="24"/>
              </w:rPr>
            </w:pPr>
          </w:p>
        </w:tc>
        <w:tc>
          <w:tcPr>
            <w:tcW w:w="1541" w:type="dxa"/>
            <w:vMerge w:val="continue"/>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32"/>
                <w:szCs w:val="32"/>
              </w:rPr>
            </w:pPr>
          </w:p>
        </w:tc>
        <w:tc>
          <w:tcPr>
            <w:tcW w:w="6253" w:type="dxa"/>
            <w:noWrap w:val="0"/>
            <w:vAlign w:val="center"/>
          </w:tcPr>
          <w:p>
            <w:pPr>
              <w:keepNext w:val="0"/>
              <w:keepLines w:val="0"/>
              <w:pageBreakBefore w:val="0"/>
              <w:kinsoku/>
              <w:wordWrap/>
              <w:overflowPunct/>
              <w:topLinePunct w:val="0"/>
              <w:bidi w:val="0"/>
              <w:snapToGrid/>
              <w:spacing w:before="157" w:beforeLines="50" w:after="157" w:afterLines="50" w:line="360" w:lineRule="auto"/>
              <w:ind w:right="105" w:rightChars="50"/>
              <w:jc w:val="left"/>
              <w:rPr>
                <w:rFonts w:hint="eastAsia" w:ascii="仿宋" w:hAnsi="仿宋" w:eastAsia="仿宋" w:cs="仿宋"/>
                <w:sz w:val="32"/>
                <w:szCs w:val="32"/>
              </w:rPr>
            </w:pPr>
            <w:r>
              <w:rPr>
                <w:rFonts w:hint="eastAsia" w:ascii="仿宋" w:hAnsi="仿宋" w:eastAsia="仿宋" w:cs="仿宋"/>
                <w:kern w:val="0"/>
                <w:sz w:val="32"/>
                <w:szCs w:val="32"/>
              </w:rPr>
              <w:t>3.提供法定代表人授权委托书原件及被委托人身份证原件（附填写委托人联系电话）；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45" w:type="dxa"/>
            <w:vMerge w:val="continue"/>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24"/>
                <w:szCs w:val="24"/>
              </w:rPr>
            </w:pPr>
          </w:p>
        </w:tc>
        <w:tc>
          <w:tcPr>
            <w:tcW w:w="1541" w:type="dxa"/>
            <w:vMerge w:val="continue"/>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left"/>
              <w:rPr>
                <w:rFonts w:hint="eastAsia" w:ascii="仿宋" w:hAnsi="仿宋" w:eastAsia="仿宋" w:cs="仿宋"/>
                <w:sz w:val="32"/>
                <w:szCs w:val="32"/>
              </w:rPr>
            </w:pPr>
          </w:p>
        </w:tc>
        <w:tc>
          <w:tcPr>
            <w:tcW w:w="6253" w:type="dxa"/>
            <w:noWrap w:val="0"/>
            <w:vAlign w:val="center"/>
          </w:tcPr>
          <w:p>
            <w:pPr>
              <w:keepNext w:val="0"/>
              <w:keepLines w:val="0"/>
              <w:pageBreakBefore w:val="0"/>
              <w:kinsoku/>
              <w:wordWrap/>
              <w:overflowPunct/>
              <w:topLinePunct w:val="0"/>
              <w:bidi w:val="0"/>
              <w:snapToGrid/>
              <w:spacing w:before="157" w:beforeLines="50" w:after="157" w:afterLines="50" w:line="360" w:lineRule="auto"/>
              <w:ind w:right="105" w:rightChars="5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i w:val="0"/>
                <w:iCs w:val="0"/>
                <w:caps w:val="0"/>
                <w:color w:val="333333"/>
                <w:spacing w:val="0"/>
                <w:sz w:val="32"/>
                <w:szCs w:val="32"/>
                <w:shd w:val="clear" w:color="auto" w:fill="FFFFFF"/>
              </w:rPr>
              <w:t>具备相关（人力资源服务）资质</w:t>
            </w:r>
            <w:r>
              <w:rPr>
                <w:rFonts w:hint="eastAsia" w:ascii="仿宋" w:hAnsi="仿宋" w:eastAsia="仿宋" w:cs="仿宋"/>
                <w:i w:val="0"/>
                <w:iCs w:val="0"/>
                <w:caps w:val="0"/>
                <w:color w:val="333333"/>
                <w:spacing w:val="0"/>
                <w:sz w:val="32"/>
                <w:szCs w:val="3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145" w:type="dxa"/>
            <w:vMerge w:val="continue"/>
            <w:tcBorders>
              <w:bottom w:val="single" w:color="auto" w:sz="4" w:space="0"/>
            </w:tcBorders>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24"/>
                <w:szCs w:val="24"/>
              </w:rPr>
            </w:pPr>
          </w:p>
        </w:tc>
        <w:tc>
          <w:tcPr>
            <w:tcW w:w="1541" w:type="dxa"/>
            <w:vMerge w:val="continue"/>
            <w:tcBorders>
              <w:bottom w:val="single" w:color="auto" w:sz="4" w:space="0"/>
            </w:tcBorders>
            <w:noWrap w:val="0"/>
            <w:vAlign w:val="center"/>
          </w:tcPr>
          <w:p>
            <w:pPr>
              <w:keepNext w:val="0"/>
              <w:keepLines w:val="0"/>
              <w:pageBreakBefore w:val="0"/>
              <w:kinsoku/>
              <w:wordWrap/>
              <w:overflowPunct/>
              <w:topLinePunct w:val="0"/>
              <w:bidi w:val="0"/>
              <w:snapToGrid/>
              <w:spacing w:before="157" w:beforeLines="50" w:after="157" w:afterLines="50" w:line="360" w:lineRule="auto"/>
              <w:ind w:left="105" w:leftChars="50" w:right="105" w:rightChars="50"/>
              <w:jc w:val="center"/>
              <w:rPr>
                <w:rFonts w:hint="eastAsia" w:ascii="仿宋" w:hAnsi="仿宋" w:eastAsia="仿宋" w:cs="仿宋"/>
                <w:sz w:val="32"/>
                <w:szCs w:val="32"/>
              </w:rPr>
            </w:pPr>
          </w:p>
        </w:tc>
        <w:tc>
          <w:tcPr>
            <w:tcW w:w="6253" w:type="dxa"/>
            <w:noWrap w:val="0"/>
            <w:vAlign w:val="center"/>
          </w:tcPr>
          <w:p>
            <w:pPr>
              <w:keepNext w:val="0"/>
              <w:keepLines w:val="0"/>
              <w:pageBreakBefore w:val="0"/>
              <w:kinsoku/>
              <w:wordWrap/>
              <w:overflowPunct/>
              <w:topLinePunct w:val="0"/>
              <w:bidi w:val="0"/>
              <w:snapToGrid/>
              <w:spacing w:before="157" w:beforeLines="50" w:after="157" w:afterLines="50" w:line="360" w:lineRule="auto"/>
              <w:ind w:right="105" w:rightChars="50"/>
              <w:jc w:val="left"/>
              <w:rPr>
                <w:rFonts w:hint="eastAsia" w:ascii="仿宋" w:hAnsi="仿宋" w:eastAsia="仿宋" w:cs="仿宋"/>
                <w:kern w:val="0"/>
                <w:sz w:val="32"/>
                <w:szCs w:val="32"/>
                <w:lang w:eastAsia="zh-CN"/>
              </w:rPr>
            </w:pP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具有良好的商业信誉</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在生产经营活动中无重大违法记录</w:t>
            </w:r>
            <w:r>
              <w:rPr>
                <w:rFonts w:hint="eastAsia" w:ascii="仿宋" w:hAnsi="仿宋" w:eastAsia="仿宋" w:cs="仿宋"/>
                <w:i w:val="0"/>
                <w:iCs w:val="0"/>
                <w:caps w:val="0"/>
                <w:color w:val="333333"/>
                <w:spacing w:val="0"/>
                <w:sz w:val="32"/>
                <w:szCs w:val="32"/>
                <w:shd w:val="clear" w:color="auto" w:fill="FFFFFF"/>
                <w:lang w:eastAsia="zh-CN"/>
              </w:rPr>
              <w:t>承诺书并经法人签字盖章。</w:t>
            </w:r>
          </w:p>
        </w:tc>
      </w:tr>
    </w:tbl>
    <w:p>
      <w:pPr>
        <w:keepNext w:val="0"/>
        <w:keepLines w:val="0"/>
        <w:pageBreakBefore w:val="0"/>
        <w:widowControl w:val="0"/>
        <w:kinsoku/>
        <w:wordWrap/>
        <w:overflowPunct/>
        <w:topLinePunct w:val="0"/>
        <w:autoSpaceDE w:val="0"/>
        <w:autoSpaceDN w:val="0"/>
        <w:bidi w:val="0"/>
        <w:snapToGrid/>
        <w:spacing w:before="157" w:beforeLines="50" w:after="157" w:afterLines="50" w:line="360" w:lineRule="auto"/>
        <w:ind w:right="105" w:rightChars="50" w:firstLine="321" w:firstLineChars="100"/>
        <w:jc w:val="left"/>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val="0"/>
        <w:kinsoku/>
        <w:wordWrap/>
        <w:overflowPunct/>
        <w:topLinePunct w:val="0"/>
        <w:autoSpaceDE w:val="0"/>
        <w:autoSpaceDN w:val="0"/>
        <w:bidi w:val="0"/>
        <w:snapToGrid/>
        <w:spacing w:before="157" w:beforeLines="50" w:after="157" w:afterLines="50" w:line="360" w:lineRule="auto"/>
        <w:ind w:right="105" w:rightChars="50" w:firstLine="321" w:firstLineChars="100"/>
        <w:jc w:val="left"/>
        <w:textAlignment w:val="auto"/>
        <w:rPr>
          <w:rFonts w:hint="eastAsia" w:ascii="仿宋_GB2312" w:hAnsi="仿宋_GB2312" w:eastAsia="仿宋_GB2312" w:cs="仿宋_GB2312"/>
          <w:b/>
          <w:kern w:val="0"/>
          <w:sz w:val="32"/>
          <w:szCs w:val="32"/>
          <w:lang w:val="zh-CN"/>
        </w:rPr>
      </w:pPr>
      <w:bookmarkStart w:id="0" w:name="_GoBack"/>
      <w:bookmarkEnd w:id="0"/>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lang w:val="zh-CN"/>
        </w:rPr>
        <w:t>详细评审</w:t>
      </w:r>
    </w:p>
    <w:tbl>
      <w:tblPr>
        <w:tblStyle w:val="4"/>
        <w:tblW w:w="49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936"/>
        <w:gridCol w:w="4079"/>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89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黑体" w:hAnsi="宋体" w:eastAsia="黑体" w:cs="黑体"/>
                <w:i w:val="0"/>
                <w:iCs w:val="0"/>
                <w:color w:val="000000"/>
                <w:sz w:val="28"/>
                <w:szCs w:val="28"/>
                <w:u w:val="none"/>
                <w:lang w:val="en-US"/>
              </w:rPr>
            </w:pPr>
            <w:r>
              <w:rPr>
                <w:rFonts w:hint="eastAsia" w:ascii="黑体" w:hAnsi="宋体" w:eastAsia="黑体" w:cs="黑体"/>
                <w:i w:val="0"/>
                <w:iCs w:val="0"/>
                <w:color w:val="000000"/>
                <w:kern w:val="0"/>
                <w:sz w:val="28"/>
                <w:szCs w:val="28"/>
                <w:u w:val="none"/>
                <w:lang w:val="en-US" w:eastAsia="zh-CN" w:bidi="ar"/>
              </w:rPr>
              <w:t>评审内容</w:t>
            </w:r>
          </w:p>
        </w:tc>
        <w:tc>
          <w:tcPr>
            <w:tcW w:w="3327"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评分标准</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3" w:hRule="atLeast"/>
        </w:trPr>
        <w:tc>
          <w:tcPr>
            <w:tcW w:w="890" w:type="pct"/>
            <w:vMerge w:val="restart"/>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业务能力</w:t>
            </w:r>
          </w:p>
        </w:tc>
        <w:tc>
          <w:tcPr>
            <w:tcW w:w="1071" w:type="pct"/>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项目人员资质</w:t>
            </w:r>
          </w:p>
        </w:tc>
        <w:tc>
          <w:tcPr>
            <w:tcW w:w="2256" w:type="pct"/>
            <w:tcBorders>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按供应商为本项目配备的工作组人数评分（满分10分）：达8人及以上的得10分；5人-8人（不含8人）的得7分；3人-5人（不含5人）的得5分；3人及以下不得分。另需提供身份证复印件，否则不予计分。</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890" w:type="pct"/>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sz w:val="24"/>
                <w:szCs w:val="24"/>
                <w:u w:val="none"/>
                <w:lang w:val="en-US"/>
              </w:rPr>
            </w:pPr>
          </w:p>
        </w:tc>
        <w:tc>
          <w:tcPr>
            <w:tcW w:w="1071"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提供在市内开展公共就业服务活动的相关业绩证明。每提供1个得5分，最多得20分。另需提供合同原件或复印件，否则不予计分。</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90" w:type="pct"/>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sz w:val="24"/>
                <w:szCs w:val="24"/>
                <w:u w:val="none"/>
                <w:lang w:val="en-US"/>
              </w:rPr>
            </w:pPr>
          </w:p>
        </w:tc>
        <w:tc>
          <w:tcPr>
            <w:tcW w:w="1071"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服务方案</w:t>
            </w:r>
          </w:p>
        </w:tc>
        <w:tc>
          <w:tcPr>
            <w:tcW w:w="2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案中工作周期的安排科学合理，预见性强，提出的服务方案可执行强，管理方面优势及特长很好的符合本项目服务要求；遴选工作领导小组综合比较评审，按档次（整体思路）打分：优，得70分；良，得50分；一般，得30分；差，不得分。</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157" w:beforeLines="50" w:after="157" w:afterLines="50" w:line="360" w:lineRule="auto"/>
              <w:ind w:left="105" w:leftChars="50" w:right="105" w:right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r>
    </w:tbl>
    <w:p>
      <w:pPr>
        <w:keepNext w:val="0"/>
        <w:keepLines w:val="0"/>
        <w:pageBreakBefore w:val="0"/>
        <w:widowControl w:val="0"/>
        <w:kinsoku/>
        <w:wordWrap/>
        <w:overflowPunct/>
        <w:topLinePunct w:val="0"/>
        <w:bidi w:val="0"/>
        <w:snapToGrid/>
        <w:spacing w:before="157" w:beforeLines="50" w:after="157" w:afterLines="50" w:line="360" w:lineRule="auto"/>
        <w:ind w:left="105" w:leftChars="50" w:right="105" w:rightChars="50" w:firstLine="640" w:firstLineChars="200"/>
        <w:textAlignment w:val="auto"/>
        <w:rPr>
          <w:rFonts w:hint="eastAsia" w:ascii="仿宋_GB2312" w:hAnsi="仿宋_GB2312" w:eastAsia="仿宋_GB2312" w:cs="仿宋_GB2312"/>
          <w:color w:val="000000"/>
          <w:kern w:val="0"/>
          <w:sz w:val="32"/>
          <w:szCs w:val="32"/>
          <w:lang w:val="zh-CN"/>
        </w:rPr>
        <w:sectPr>
          <w:pgSz w:w="11906" w:h="16838"/>
          <w:pgMar w:top="1440" w:right="1474" w:bottom="1440" w:left="1474" w:header="851" w:footer="992" w:gutter="0"/>
          <w:cols w:space="0" w:num="1"/>
          <w:rtlGutter w:val="0"/>
          <w:docGrid w:type="lines" w:linePitch="312" w:charSpace="0"/>
        </w:sectPr>
      </w:pPr>
      <w:r>
        <w:rPr>
          <w:rFonts w:hint="eastAsia" w:ascii="仿宋_GB2312" w:hAnsi="仿宋_GB2312" w:eastAsia="仿宋_GB2312" w:cs="仿宋_GB2312"/>
          <w:color w:val="000000"/>
          <w:kern w:val="0"/>
          <w:sz w:val="32"/>
          <w:szCs w:val="32"/>
          <w:lang w:val="zh-CN"/>
        </w:rPr>
        <w:t>注：比选申请人在比选申请文件中提供上表有关的证明材料复印件，未提供有效证明材料的，在评审时有权不予认可。</w:t>
      </w:r>
    </w:p>
    <w:tbl>
      <w:tblPr>
        <w:tblStyle w:val="4"/>
        <w:tblW w:w="16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4350"/>
        <w:gridCol w:w="795"/>
        <w:gridCol w:w="4620"/>
        <w:gridCol w:w="405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24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附件2</w:t>
            </w:r>
          </w:p>
        </w:tc>
        <w:tc>
          <w:tcPr>
            <w:tcW w:w="435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rPr>
                <w:rFonts w:hint="eastAsia" w:ascii="宋体" w:hAnsi="宋体" w:eastAsia="宋体" w:cs="宋体"/>
                <w:i w:val="0"/>
                <w:iCs w:val="0"/>
                <w:color w:val="000000"/>
                <w:sz w:val="22"/>
                <w:szCs w:val="22"/>
                <w:u w:val="none"/>
              </w:rPr>
            </w:pPr>
          </w:p>
        </w:tc>
        <w:tc>
          <w:tcPr>
            <w:tcW w:w="462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rPr>
                <w:rFonts w:hint="eastAsia" w:ascii="宋体" w:hAnsi="宋体" w:eastAsia="宋体" w:cs="宋体"/>
                <w:i w:val="0"/>
                <w:iCs w:val="0"/>
                <w:color w:val="000000"/>
                <w:sz w:val="22"/>
                <w:szCs w:val="22"/>
                <w:u w:val="none"/>
              </w:rPr>
            </w:pPr>
          </w:p>
        </w:tc>
        <w:tc>
          <w:tcPr>
            <w:tcW w:w="405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ascii="仿宋" w:hAnsi="仿宋" w:eastAsia="仿宋" w:cs="仿宋"/>
                <w:b/>
                <w:bCs/>
                <w:i w:val="0"/>
                <w:iCs w:val="0"/>
                <w:color w:val="000000"/>
                <w:sz w:val="18"/>
                <w:szCs w:val="18"/>
                <w:u w:val="none"/>
              </w:rPr>
            </w:pPr>
            <w:r>
              <w:rPr>
                <w:rFonts w:hint="eastAsia" w:ascii="黑体" w:hAnsi="黑体" w:eastAsia="黑体" w:cs="黑体"/>
                <w:b/>
                <w:bCs/>
                <w:i w:val="0"/>
                <w:iCs w:val="0"/>
                <w:color w:val="000000"/>
                <w:kern w:val="0"/>
                <w:sz w:val="32"/>
                <w:szCs w:val="32"/>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评分项目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评分指标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评分标准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考核方式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基础建设（15分）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有统一挂牌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经过认定、标识规范、醒目</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提供图片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服务场所选址恰当，有明显的引导标牌，便于外出务工人员上门咨询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服务场所选址恰当得2分，有明显的引导标牌得2份。</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提供图片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有专职人员负责协作站日常工作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派驻专职工作人员负责协作站日常工作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提供工作日志，对方人社局认可的每月不低于15天的考勤记录。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工作成效（65分）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与驻地园区、企业沟通协调，协助人社部门与驻地园区、企业签订劳务合作协议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与企业签订劳务协议或委托招聘合作协议，每与1家企业签订合作协议得1分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提供签订协议及台账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定期走访或联系黔西籍务工人员集中的企业、园区、人力资源服务机构，了解黔西籍务工人员流动情况，与黔西籍务工人员开展座谈交流。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每季度至少走访1次，每季度4分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提供台账（图片、走访图片、走访记录）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收集驻地招聘岗位，定期反馈至黔西人社部门，协调园区、企业等与黔西人社部门共同开展直播带岗或线上线下招聘会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每月至少提供1次岗位信息，未按时提供信息不得分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提供岗位信息台账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统计驻地黔西籍务工人员信息。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少于500人不得分，满500人得5分，每增加100人加1分，得满15分为止。</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提供台账（劳动合同或者社保缴费记录或入职证明）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提供各类劳动力信息台账（包括脱贫劳动力、易地扶贫搬迁劳动力等）。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100人（含100人）以内得5分，每增加50人得1分，得满15分为止。</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提供台账（劳动合同或者社保缴费记录或入职证明），人员身份以乡村振兴部门数据比对为准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做好驻地黔西籍务工人员稳岗就业工作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及时跟踪输出就业劳动力稳岗就业情况，对有失业风险人员，及时开展培训就业服务，促进其在当地再就业。</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提供服务图片等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对接驻地园区、企业技能人才需求，针对性开展技能等级培训后输出到驻地园区及企业就业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不少于1次提供驻地企业需要工种与人社部门对接相应技能等级工种培训后输送就业。</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台账建立（10分）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做好就业岗位收集整理，建立《岗位信息台账》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已建立《岗位信息调账》得2分，已建立台账且记录完整、按月装订成册得3分。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提供台账，电话抽查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摸清外出务工人员情况，建立《外出务工人员信息台账》并定期更新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已建立《外出务工人员信息台账》并定期更新得3分，已建立并记录完整且按月装订成册得5分。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提供台账，装订成册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收集黔西籍创业成功人士信息，引导返乡创业，建立《黔西籍创业成功人士台账》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建立台账并记录完整得2分。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提供台账，电话抽查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信息报送（10分）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驻站工作人员每月1次书面向人社部门汇报协作站运行情况，年底报送工作总结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未按要求报送，不得分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汇报材料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提供素材获得毕节市级主流媒体宣传报道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每个站点至少提供素材获得毕节市级主流媒体宣传报道，未提供不得分。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提供相关报道依据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cs="仿宋"/>
                <w:i w:val="0"/>
                <w:iCs w:val="0"/>
                <w:color w:val="000000"/>
                <w:sz w:val="18"/>
                <w:szCs w:val="18"/>
                <w:u w:val="none"/>
              </w:rPr>
            </w:pPr>
          </w:p>
        </w:tc>
      </w:tr>
    </w:tbl>
    <w:p>
      <w:pPr>
        <w:bidi w:val="0"/>
        <w:jc w:val="left"/>
        <w:rPr>
          <w:rFonts w:hint="default"/>
          <w:lang w:val="en-US" w:eastAsia="zh-CN"/>
        </w:rPr>
      </w:pPr>
    </w:p>
    <w:sectPr>
      <w:pgSz w:w="16838" w:h="11906" w:orient="landscape"/>
      <w:pgMar w:top="510" w:right="510" w:bottom="510" w:left="51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8621A"/>
    <w:multiLevelType w:val="singleLevel"/>
    <w:tmpl w:val="B808621A"/>
    <w:lvl w:ilvl="0" w:tentative="0">
      <w:start w:val="1"/>
      <w:numFmt w:val="chineseCounting"/>
      <w:suff w:val="nothing"/>
      <w:lvlText w:val="%1、"/>
      <w:lvlJc w:val="left"/>
      <w:rPr>
        <w:rFonts w:hint="eastAsia"/>
      </w:rPr>
    </w:lvl>
  </w:abstractNum>
  <w:abstractNum w:abstractNumId="1">
    <w:nsid w:val="F03F3E22"/>
    <w:multiLevelType w:val="singleLevel"/>
    <w:tmpl w:val="F03F3E22"/>
    <w:lvl w:ilvl="0" w:tentative="0">
      <w:start w:val="1"/>
      <w:numFmt w:val="chineseCounting"/>
      <w:suff w:val="nothing"/>
      <w:lvlText w:val="（%1）"/>
      <w:lvlJc w:val="left"/>
      <w:rPr>
        <w:rFonts w:hint="eastAsia"/>
      </w:rPr>
    </w:lvl>
  </w:abstractNum>
  <w:abstractNum w:abstractNumId="2">
    <w:nsid w:val="F3B5EB12"/>
    <w:multiLevelType w:val="singleLevel"/>
    <w:tmpl w:val="F3B5EB12"/>
    <w:lvl w:ilvl="0" w:tentative="0">
      <w:start w:val="1"/>
      <w:numFmt w:val="chineseCounting"/>
      <w:suff w:val="nothing"/>
      <w:lvlText w:val="（%1）"/>
      <w:lvlJc w:val="left"/>
      <w:rPr>
        <w:rFonts w:hint="eastAsia"/>
      </w:rPr>
    </w:lvl>
  </w:abstractNum>
  <w:abstractNum w:abstractNumId="3">
    <w:nsid w:val="2CDFF31E"/>
    <w:multiLevelType w:val="singleLevel"/>
    <w:tmpl w:val="2CDFF31E"/>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Yzc5MzIxODRjY2RmZmRkN2EzNzliNjgzZTk0YzEifQ=="/>
  </w:docVars>
  <w:rsids>
    <w:rsidRoot w:val="24EA55BD"/>
    <w:rsid w:val="04242D8F"/>
    <w:rsid w:val="05852631"/>
    <w:rsid w:val="08EB1147"/>
    <w:rsid w:val="09E85885"/>
    <w:rsid w:val="105161C6"/>
    <w:rsid w:val="111E057F"/>
    <w:rsid w:val="13675A6C"/>
    <w:rsid w:val="140432BB"/>
    <w:rsid w:val="19D47CEE"/>
    <w:rsid w:val="1C3B5CE8"/>
    <w:rsid w:val="1DD957B9"/>
    <w:rsid w:val="1E8544DD"/>
    <w:rsid w:val="1FD9253F"/>
    <w:rsid w:val="207F12EC"/>
    <w:rsid w:val="23986C24"/>
    <w:rsid w:val="24841807"/>
    <w:rsid w:val="24EA55BD"/>
    <w:rsid w:val="2AFB4FC0"/>
    <w:rsid w:val="2B481888"/>
    <w:rsid w:val="2C994A91"/>
    <w:rsid w:val="308A16B0"/>
    <w:rsid w:val="31BA157D"/>
    <w:rsid w:val="3485666C"/>
    <w:rsid w:val="34BF705E"/>
    <w:rsid w:val="35F20C69"/>
    <w:rsid w:val="370C2303"/>
    <w:rsid w:val="37276AFB"/>
    <w:rsid w:val="39761C7E"/>
    <w:rsid w:val="3D584184"/>
    <w:rsid w:val="3DEE2762"/>
    <w:rsid w:val="3E2E2B5F"/>
    <w:rsid w:val="3F516B05"/>
    <w:rsid w:val="402A4E6D"/>
    <w:rsid w:val="407952B7"/>
    <w:rsid w:val="41313092"/>
    <w:rsid w:val="42CD0DA0"/>
    <w:rsid w:val="44724B90"/>
    <w:rsid w:val="44AE0556"/>
    <w:rsid w:val="450A50B1"/>
    <w:rsid w:val="45E451C4"/>
    <w:rsid w:val="4F754A92"/>
    <w:rsid w:val="4F7F146C"/>
    <w:rsid w:val="52EF0FC1"/>
    <w:rsid w:val="53292109"/>
    <w:rsid w:val="53E421E6"/>
    <w:rsid w:val="59657925"/>
    <w:rsid w:val="59A73A9A"/>
    <w:rsid w:val="5A696FA1"/>
    <w:rsid w:val="5ECE232A"/>
    <w:rsid w:val="60DF1D6B"/>
    <w:rsid w:val="62917095"/>
    <w:rsid w:val="66990C0E"/>
    <w:rsid w:val="67224FAC"/>
    <w:rsid w:val="68F55EA4"/>
    <w:rsid w:val="6A303637"/>
    <w:rsid w:val="6B3574B7"/>
    <w:rsid w:val="6F285225"/>
    <w:rsid w:val="72B1108D"/>
    <w:rsid w:val="75E158D9"/>
    <w:rsid w:val="79A748F1"/>
    <w:rsid w:val="7A304F8E"/>
    <w:rsid w:val="7B2965AD"/>
    <w:rsid w:val="7E002EC9"/>
    <w:rsid w:val="7F10538E"/>
    <w:rsid w:val="7F9E3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99"/>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3582</Words>
  <Characters>3672</Characters>
  <Lines>0</Lines>
  <Paragraphs>0</Paragraphs>
  <TotalTime>7</TotalTime>
  <ScaleCrop>false</ScaleCrop>
  <LinksUpToDate>false</LinksUpToDate>
  <CharactersWithSpaces>3739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2022-01-11T02:34:00Z</dcterms:created>
  <dc:creator>9527</dc:creator>
  <cp:lastModifiedBy>后会无期</cp:lastModifiedBy>
  <cp:lastPrinted>2022-08-01T01:27:00Z</cp:lastPrinted>
  <dcterms:modified xsi:type="dcterms:W3CDTF">2022-08-11T10:48:58Z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78CA7C025C4D45B99800F65D51037290</vt:lpwstr>
  </property>
</Properties>
</file>