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eastAsia="方正小标宋简体" w:cs="宋体"/>
          <w:b/>
          <w:bCs/>
          <w:color w:val="000000"/>
          <w:kern w:val="0"/>
          <w:sz w:val="40"/>
          <w:szCs w:val="40"/>
        </w:rPr>
        <w:t>法律咨询专家库拟聘人员名单</w:t>
      </w:r>
    </w:p>
    <w:tbl>
      <w:tblPr>
        <w:tblStyle w:val="7"/>
        <w:tblpPr w:leftFromText="180" w:rightFromText="180" w:vertAnchor="text" w:horzAnchor="margin" w:tblpXSpec="center" w:tblpY="219"/>
        <w:tblW w:w="94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58"/>
        <w:gridCol w:w="784"/>
        <w:gridCol w:w="3686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服务领域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李长勇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贵州文熙律师事务所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城乡建设、行政征收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杜君恋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贵州慕远律师事务所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城乡建设、行政征收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贵州牧心律师事务所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城乡建设、行政征收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黎成祥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贵州瀛青云律师事务所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城乡建设、行政征收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李学芬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贵州与之律师事务所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财税金融（非标）、国资管理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李世军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贵州宇辉律师事务所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财税金融（非标）、国资管理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瑛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储瑛</w:t>
            </w:r>
            <w:bookmarkStart w:id="0" w:name="_GoBack"/>
            <w:bookmarkEnd w:id="0"/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财税金融（非标）、国资管理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李良国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贵州山一律师事务所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财税金融（非标）、国资管理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郑纪刚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贵州乾锋律师事务所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招商引资、民商合同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霍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媛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贵州和辰律师事务所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招商引资、民商合同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杨万祥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贵州山一律师事务所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招商引资、民商合同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牟泰勇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贵州新长征律师事务所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项目投资、商务贸易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渝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贵州与之律师事务所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项目投资、商务贸易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吴柳娟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贵州文熙律师事务所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项目投资、商务贸易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鸿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贵州瀛青云律师事务所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项目投资、商务贸易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张文熙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贵州文熙律师事务所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农业生态、交通水利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蒋玉兰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贵州君上杰律师事务所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农业生态、交通水利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李兴开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贵州君磊律师事务所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科教文卫、公共安全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罗孝堂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贵州十朋律师事务所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科教文卫、公共安全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郑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贵州他山律师事务所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涉外交流、知识产权</w:t>
            </w:r>
          </w:p>
        </w:tc>
      </w:tr>
    </w:tbl>
    <w:p/>
    <w:p>
      <w:pPr>
        <w:widowControl/>
        <w:spacing w:line="560" w:lineRule="exac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altName w:val="DejaVu Sans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FFFD5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502</Words>
  <Characters>513</Characters>
  <Lines>111</Lines>
  <Paragraphs>106</Paragraphs>
  <TotalTime>216</TotalTime>
  <ScaleCrop>false</ScaleCrop>
  <LinksUpToDate>false</LinksUpToDate>
  <CharactersWithSpaces>525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2022-08-05T01:47:00Z</dcterms:created>
  <dc:creator>glory</dc:creator>
  <cp:lastModifiedBy>ysgz</cp:lastModifiedBy>
  <cp:lastPrinted>2022-08-09T14:24:20Z</cp:lastPrinted>
  <dcterms:modified xsi:type="dcterms:W3CDTF">2022-08-09T14:59:06Z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