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ind w:left="0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海关总署2022年度公开遴选公务员拟任职人员名单</w:t>
      </w:r>
    </w:p>
    <w:p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tbl>
      <w:tblPr>
        <w:jc w:val="center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963"/>
        <w:gridCol w:w="1080"/>
        <w:gridCol w:w="900"/>
        <w:gridCol w:w="2520"/>
        <w:gridCol w:w="2268"/>
      </w:tblGrid>
      <w:tr>
        <w:trPr>
          <w:trHeight w:val="898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序号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职位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性别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准考证号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工作单位</w:t>
            </w:r>
          </w:p>
        </w:tc>
      </w:tr>
      <w:tr>
        <w:trPr>
          <w:trHeight w:val="1134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办公厅署长办公室一级主任科员及以下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李岩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129211502201122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南京海关所属昆山海关办公室（党委办公室）</w:t>
            </w:r>
          </w:p>
        </w:tc>
      </w:tr>
      <w:tr>
        <w:trPr>
          <w:trHeight w:val="1134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国家口岸管理办公室口岸一处一级主任科员及以下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芦志涛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129213500104214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石家庄海关所属邢台海关综合业务二科</w:t>
            </w:r>
          </w:p>
        </w:tc>
      </w:tr>
      <w:tr>
        <w:trPr>
          <w:trHeight w:val="1134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综合业务司业务协调处一级主任科员及以下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韩照志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129211502200718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天津海关口岸监管处监管装备科</w:t>
            </w:r>
          </w:p>
        </w:tc>
      </w:tr>
      <w:tr>
        <w:trPr>
          <w:trHeight w:val="1134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卫生检疫司生物安全管理处一级主任科员及以下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周燕楠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129211502300705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北京海关卫生检疫处卫生监督科</w:t>
            </w:r>
          </w:p>
        </w:tc>
      </w:tr>
      <w:tr>
        <w:trPr>
          <w:trHeight w:val="1134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口岸监管司监管装备处一级主任科员及以下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孙军超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129237500101930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济南海关关税处综合科</w:t>
            </w:r>
          </w:p>
        </w:tc>
      </w:tr>
      <w:tr>
        <w:trPr>
          <w:trHeight w:val="1134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企业管理和稽查司稽查处一级主任科员及以下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杨小桐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女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129211502300811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北京海关所属天竺海关稽查科</w:t>
            </w:r>
          </w:p>
        </w:tc>
      </w:tr>
      <w:tr>
        <w:trPr>
          <w:trHeight w:val="1134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7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财务司预算处一级主任科员及以下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杨帆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129211502100328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北京海关所属首都机场海关财务保障处经费科</w:t>
            </w:r>
          </w:p>
        </w:tc>
      </w:tr>
      <w:tr>
        <w:trPr>
          <w:trHeight w:val="1134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8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科技发展司规划与科研管理处一级主任科员及以下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曹野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129221500200620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大连海关所属丹东海关查检五科</w:t>
            </w:r>
          </w:p>
        </w:tc>
      </w:tr>
      <w:tr>
        <w:trPr>
          <w:trHeight w:val="1134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9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督察内审司综合处一级主任科员及以下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蒋震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129211502001018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北京海关财务处综合科</w:t>
            </w:r>
          </w:p>
        </w:tc>
      </w:tr>
    </w:tbl>
    <w:p>
      <w:pPr>
        <w:spacing w:line="560" w:lineRule="exact"/>
        <w:ind w:left="0"/>
        <w:jc w:val="left"/>
        <w:rPr>
          <w:rFonts w:ascii="Times New Roman" w:eastAsia="方正仿宋_GBK" w:hAnsi="Times New Roman"/>
          <w:sz w:val="32"/>
          <w:szCs w:val="32"/>
        </w:rPr>
      </w:pPr>
    </w:p>
    <w:sectPr>
      <w:pgSz w:w="11907" w:h="16840"/>
      <w:pgMar w:top="1440" w:right="663" w:bottom="1440" w:left="663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oNotDisplayPageBoundaries/>
  <w:bordersDoNotSurroundHeader/>
  <w:bordersDoNotSurroundFooter/>
  <w:defaultTabStop w:val="420"/>
  <w:drawingGridHorizontalSpacing w:val="18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9525" cmpd="sng" cap="flat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mpd="sng" cap="flat">
          <a:solidFill>
            <a:srgbClr val="000000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>
  <Template>Normal.eit</Template>
  <TotalTime>16</TotalTime>
  <Application>Yozo_Office27021597764231179</Application>
  <Pages>1</Pages>
  <Words>391</Words>
  <Characters>520</Characters>
  <Lines>89</Lines>
  <Paragraphs>61</Paragraphs>
  <CharactersWithSpaces>520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Cynthia</dc:creator>
  <cp:lastModifiedBy>翟金龙</cp:lastModifiedBy>
  <cp:revision>2</cp:revision>
  <dcterms:created xsi:type="dcterms:W3CDTF">2017-11-20T02:14:00Z</dcterms:created>
  <dcterms:modified xsi:type="dcterms:W3CDTF">2022-08-10T06:39:57Z</dcterms:modified>
</cp:coreProperties>
</file>