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附件4</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微软雅黑" w:hAnsi="微软雅黑" w:eastAsia="微软雅黑" w:cs="宋体"/>
          <w:color w:val="auto"/>
          <w:kern w:val="0"/>
          <w:sz w:val="22"/>
        </w:rPr>
      </w:pPr>
      <w:r>
        <w:rPr>
          <w:rFonts w:hint="eastAsia" w:ascii="方正小标宋简体" w:hAnsi="方正小标宋简体" w:eastAsia="方正小标宋简体" w:cs="方正小标宋简体"/>
          <w:b w:val="0"/>
          <w:bCs w:val="0"/>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中华人民共和国人力资源和社会保障部令</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第35号</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《事业单位公开招聘违纪违规行为处理规定》已经2017年9月25日人力资源社会保障部第135次部务会审议通过，现予公布，自2018年1月1日起施行。</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部长 尹蔚民</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2017年10月9日</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40" w:lineRule="exact"/>
        <w:ind w:left="147" w:right="147"/>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第二条 事业单位公开招聘中违纪违规行为的认定与处理，适用本规定。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第三条 认定与处理公开招聘违纪违规行为，应当事实清楚、证据确凿、程序规范、适用规定准确。</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第四条 中央事业单位人事综合管理部门负责全国事业单位公开招聘工作的综合管理与监督。</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第二章 应聘人员违纪违规行为处理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第五条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第六条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（三）经提醒仍不按规定填写、填涂本人信息的；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（一）抄袭、协助他人抄袭的；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（二）互相传递试卷、答题纸、答题卡、草稿纸等的；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（三）持伪造证件参加考试的；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（一）串通作弊或者参与有组织作弊的；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（二）代替他人或者让他人代替自己参加考试的；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（二）拒绝、妨碍工作人员履行管理职责的；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（四）其他扰乱招聘工作秩序的违纪违规行为。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第三章 招聘单位和招聘工作人员违纪违规行为处理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（一）未按规定权限和程序核准（备案）招聘方案，擅自组织公开招聘的；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（二）设置与岗位无关的指向性或者限制性条件的；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（三）未按规定发布招聘公告的；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（四）招聘公告发布后，擅自变更招聘程序、岗位条件、招聘人数、考试考察方式等的；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（五）未按招聘条件进行资格审查的；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（六）未按规定组织体检的；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（七）未按规定公示拟聘用人员名单的；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（八）其他应当责令改正的违纪违规行为。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第十六条 招聘工作人员有下列行为之一的，由相关部门给予处分，并停止其继续参加当年及下一年度招聘工作：</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（一）擅自提前考试开始时间、推迟考试结束时间及缩短考试时间的；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（二）擅自为应聘人员调换考场或者座位的；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（三）未准确记录考场情况及违纪违规行为，并造成一定影响的；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（四）未执行回避制度的；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（五）其他一般违纪违规行为。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第十七条 招聘工作人员有下列行为之一的，由相关部门给予处分，并将其调离招聘工作岗位，不得再从事招聘工作；构成犯罪的，依法追究刑事责任：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（一）指使、纵容他人作弊，或者在考试、考察、体检过程中参与作弊的；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（二）在保密期限内，泄露考试试题、面试评分要素等应当保密的信息的；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（三）擅自更改考试评分标准或者不按评分标准进行评卷的；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（四）监管不严，导致考场出现大面积作弊现象的；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（五）玩忽职守，造成不良影响的；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第四章 处理程序</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对应聘人员违纪违规行为作出处理决定的，应当制作公开招聘违纪违规行为处理决定书，依法送达被处理的应聘人员。</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第二十条 应聘人员对处理决定不服的，可以依法申请行政复议或者提起行政诉讼。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第二十一条 参与公开招聘的工作人员对因违纪违规行为受到处分不服的，可以依法申请复核或者提出申诉。</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第五章 附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3YTU0ZDZhZWI4MzUyOTk3N2NkNmVlZjQzNzk2ZGEifQ=="/>
  </w:docVars>
  <w:rsids>
    <w:rsidRoot w:val="00B518FD"/>
    <w:rsid w:val="00840D05"/>
    <w:rsid w:val="00B518FD"/>
    <w:rsid w:val="2AFA51A5"/>
    <w:rsid w:val="68CC0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1 Char"/>
    <w:basedOn w:val="7"/>
    <w:link w:val="2"/>
    <w:qFormat/>
    <w:uiPriority w:val="9"/>
    <w:rPr>
      <w:rFonts w:ascii="宋体" w:hAnsi="宋体" w:eastAsia="宋体" w:cs="宋体"/>
      <w:b/>
      <w:bCs/>
      <w:kern w:val="36"/>
      <w:sz w:val="48"/>
      <w:szCs w:val="48"/>
    </w:rPr>
  </w:style>
  <w:style w:type="paragraph" w:customStyle="1" w:styleId="11">
    <w:name w:val="explai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big"/>
    <w:basedOn w:val="7"/>
    <w:qFormat/>
    <w:uiPriority w:val="0"/>
  </w:style>
  <w:style w:type="character" w:customStyle="1" w:styleId="13">
    <w:name w:val="middle"/>
    <w:basedOn w:val="7"/>
    <w:qFormat/>
    <w:uiPriority w:val="0"/>
  </w:style>
  <w:style w:type="character" w:customStyle="1" w:styleId="14">
    <w:name w:val="small"/>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3181</Words>
  <Characters>3198</Characters>
  <Lines>23</Lines>
  <Paragraphs>6</Paragraphs>
  <TotalTime>4</TotalTime>
  <ScaleCrop>false</ScaleCrop>
  <LinksUpToDate>false</LinksUpToDate>
  <CharactersWithSpaces>3246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2021-11-20T07:57:00Z</dcterms:created>
  <dc:creator>邓先存</dc:creator>
  <cp:lastModifiedBy>Administrator</cp:lastModifiedBy>
  <dcterms:modified xsi:type="dcterms:W3CDTF">2022-08-02T09:58:31Z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5B7A9A85D0174076AAC66C3D68AC320E</vt:lpwstr>
  </property>
</Properties>
</file>