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eastAsia="宋体"/>
          <w:b/>
          <w:color w:val="auto"/>
          <w:sz w:val="28"/>
          <w:szCs w:val="28"/>
        </w:rPr>
      </w:pPr>
      <w:r>
        <w:rPr>
          <w:rFonts w:hint="eastAsia" w:eastAsia="宋体"/>
          <w:color w:val="auto"/>
          <w:sz w:val="28"/>
          <w:szCs w:val="28"/>
        </w:rPr>
        <w:t>附件1：</w:t>
      </w:r>
    </w:p>
    <w:p>
      <w:pPr>
        <w:spacing w:line="520" w:lineRule="exact"/>
        <w:jc w:val="center"/>
        <w:rPr>
          <w:rFonts w:ascii="Times New Roman" w:hAnsi="Times New Roman" w:eastAsia="宋体" w:cs="Times New Roman"/>
          <w:b/>
          <w:color w:val="auto"/>
          <w:sz w:val="32"/>
          <w:szCs w:val="32"/>
        </w:rPr>
      </w:pPr>
      <w:r>
        <w:rPr>
          <w:rFonts w:ascii="Times New Roman" w:hAnsi="Times New Roman" w:eastAsia="宋体" w:cs="Times New Roman"/>
          <w:b/>
          <w:color w:val="auto"/>
          <w:sz w:val="32"/>
          <w:szCs w:val="32"/>
        </w:rPr>
        <w:t>四川省</w:t>
      </w:r>
      <w:r>
        <w:rPr>
          <w:rFonts w:hint="default" w:ascii="Times New Roman" w:hAnsi="Times New Roman" w:eastAsia="宋体" w:cs="Times New Roman"/>
          <w:b/>
          <w:color w:val="auto"/>
          <w:sz w:val="32"/>
          <w:szCs w:val="32"/>
        </w:rPr>
        <w:t>林业和草原调查规划院</w:t>
      </w:r>
      <w:r>
        <w:rPr>
          <w:rFonts w:ascii="Times New Roman" w:hAnsi="Times New Roman" w:eastAsia="宋体" w:cs="Times New Roman"/>
          <w:b/>
          <w:color w:val="auto"/>
          <w:sz w:val="32"/>
          <w:szCs w:val="32"/>
        </w:rPr>
        <w:t>20</w:t>
      </w:r>
      <w:r>
        <w:rPr>
          <w:rFonts w:hint="default" w:ascii="Times New Roman" w:hAnsi="Times New Roman" w:eastAsia="宋体" w:cs="Times New Roman"/>
          <w:b/>
          <w:color w:val="auto"/>
          <w:sz w:val="32"/>
          <w:szCs w:val="32"/>
          <w:lang w:val="en-US" w:eastAsia="zh-CN"/>
        </w:rPr>
        <w:t>22</w:t>
      </w:r>
      <w:r>
        <w:rPr>
          <w:rFonts w:ascii="Times New Roman" w:hAnsi="Times New Roman" w:eastAsia="宋体" w:cs="Times New Roman"/>
          <w:b/>
          <w:color w:val="auto"/>
          <w:sz w:val="32"/>
          <w:szCs w:val="32"/>
        </w:rPr>
        <w:t>年</w:t>
      </w:r>
      <w:r>
        <w:rPr>
          <w:rFonts w:hint="eastAsia" w:ascii="Times New Roman" w:hAnsi="Times New Roman" w:eastAsia="宋体" w:cs="Times New Roman"/>
          <w:b/>
          <w:color w:val="auto"/>
          <w:sz w:val="32"/>
          <w:szCs w:val="32"/>
          <w:lang w:val="en-US" w:eastAsia="zh-CN"/>
        </w:rPr>
        <w:t>8</w:t>
      </w:r>
      <w:r>
        <w:rPr>
          <w:rFonts w:hint="default" w:ascii="Times New Roman" w:hAnsi="Times New Roman" w:eastAsia="宋体" w:cs="Times New Roman"/>
          <w:b/>
          <w:color w:val="auto"/>
          <w:sz w:val="32"/>
          <w:szCs w:val="32"/>
        </w:rPr>
        <w:t>月</w:t>
      </w:r>
      <w:r>
        <w:rPr>
          <w:rFonts w:ascii="Times New Roman" w:hAnsi="Times New Roman" w:eastAsia="宋体" w:cs="Times New Roman"/>
          <w:b/>
          <w:color w:val="auto"/>
          <w:sz w:val="32"/>
          <w:szCs w:val="32"/>
        </w:rPr>
        <w:t>公开考核招聘工作人员岗位和条件要求一览表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480"/>
        <w:gridCol w:w="930"/>
        <w:gridCol w:w="855"/>
        <w:gridCol w:w="480"/>
        <w:gridCol w:w="645"/>
        <w:gridCol w:w="1335"/>
        <w:gridCol w:w="1080"/>
        <w:gridCol w:w="2850"/>
        <w:gridCol w:w="825"/>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85" w:type="dxa"/>
            <w:vMerge w:val="restart"/>
            <w:noWrap w:val="0"/>
            <w:vAlign w:val="center"/>
          </w:tcPr>
          <w:p>
            <w:pPr>
              <w:jc w:val="center"/>
              <w:rPr>
                <w:rFonts w:ascii="黑体" w:hAnsi="黑体" w:eastAsia="黑体"/>
                <w:color w:val="auto"/>
                <w:sz w:val="18"/>
                <w:szCs w:val="18"/>
              </w:rPr>
            </w:pPr>
            <w:r>
              <w:rPr>
                <w:rFonts w:ascii="黑体" w:hAnsi="黑体" w:eastAsia="黑体"/>
                <w:color w:val="auto"/>
                <w:sz w:val="18"/>
                <w:szCs w:val="18"/>
              </w:rPr>
              <w:t>招聘单位</w:t>
            </w:r>
          </w:p>
        </w:tc>
        <w:tc>
          <w:tcPr>
            <w:tcW w:w="1410" w:type="dxa"/>
            <w:gridSpan w:val="2"/>
            <w:noWrap w:val="0"/>
            <w:vAlign w:val="center"/>
          </w:tcPr>
          <w:p>
            <w:pPr>
              <w:jc w:val="center"/>
              <w:rPr>
                <w:rFonts w:ascii="黑体" w:hAnsi="黑体" w:eastAsia="黑体"/>
                <w:color w:val="auto"/>
                <w:sz w:val="18"/>
                <w:szCs w:val="18"/>
              </w:rPr>
            </w:pPr>
            <w:r>
              <w:rPr>
                <w:rFonts w:ascii="黑体" w:hAnsi="黑体" w:eastAsia="黑体"/>
                <w:color w:val="auto"/>
                <w:sz w:val="18"/>
                <w:szCs w:val="18"/>
              </w:rPr>
              <w:t>招聘岗位</w:t>
            </w:r>
          </w:p>
        </w:tc>
        <w:tc>
          <w:tcPr>
            <w:tcW w:w="855" w:type="dxa"/>
            <w:vMerge w:val="restart"/>
            <w:noWrap w:val="0"/>
            <w:vAlign w:val="center"/>
          </w:tcPr>
          <w:p>
            <w:pPr>
              <w:jc w:val="center"/>
              <w:rPr>
                <w:rFonts w:hint="eastAsia" w:ascii="黑体" w:hAnsi="黑体" w:eastAsia="黑体"/>
                <w:color w:val="auto"/>
                <w:sz w:val="18"/>
                <w:szCs w:val="18"/>
              </w:rPr>
            </w:pPr>
            <w:r>
              <w:rPr>
                <w:rFonts w:ascii="黑体" w:hAnsi="黑体" w:eastAsia="黑体"/>
                <w:color w:val="auto"/>
                <w:sz w:val="18"/>
                <w:szCs w:val="18"/>
              </w:rPr>
              <w:t>岗位</w:t>
            </w:r>
          </w:p>
          <w:p>
            <w:pPr>
              <w:jc w:val="center"/>
              <w:rPr>
                <w:rFonts w:ascii="黑体" w:hAnsi="黑体" w:eastAsia="黑体"/>
                <w:color w:val="auto"/>
                <w:sz w:val="18"/>
                <w:szCs w:val="18"/>
              </w:rPr>
            </w:pPr>
            <w:r>
              <w:rPr>
                <w:rFonts w:ascii="黑体" w:hAnsi="黑体" w:eastAsia="黑体"/>
                <w:color w:val="auto"/>
                <w:sz w:val="18"/>
                <w:szCs w:val="18"/>
              </w:rPr>
              <w:t>编码</w:t>
            </w:r>
          </w:p>
        </w:tc>
        <w:tc>
          <w:tcPr>
            <w:tcW w:w="480" w:type="dxa"/>
            <w:vMerge w:val="restart"/>
            <w:noWrap w:val="0"/>
            <w:tcMar>
              <w:left w:w="28" w:type="dxa"/>
              <w:right w:w="28" w:type="dxa"/>
            </w:tcMar>
            <w:vAlign w:val="center"/>
          </w:tcPr>
          <w:p>
            <w:pPr>
              <w:jc w:val="center"/>
              <w:rPr>
                <w:rFonts w:ascii="黑体" w:hAnsi="黑体" w:eastAsia="黑体"/>
                <w:color w:val="auto"/>
                <w:sz w:val="18"/>
                <w:szCs w:val="18"/>
              </w:rPr>
            </w:pPr>
            <w:r>
              <w:rPr>
                <w:rFonts w:ascii="黑体" w:hAnsi="黑体" w:eastAsia="黑体"/>
                <w:color w:val="auto"/>
                <w:sz w:val="18"/>
                <w:szCs w:val="18"/>
              </w:rPr>
              <w:t>招聘人数</w:t>
            </w:r>
          </w:p>
        </w:tc>
        <w:tc>
          <w:tcPr>
            <w:tcW w:w="645" w:type="dxa"/>
            <w:vMerge w:val="restart"/>
            <w:noWrap w:val="0"/>
            <w:vAlign w:val="center"/>
          </w:tcPr>
          <w:p>
            <w:pPr>
              <w:jc w:val="center"/>
              <w:rPr>
                <w:rFonts w:ascii="黑体" w:hAnsi="黑体" w:eastAsia="黑体"/>
                <w:color w:val="auto"/>
                <w:sz w:val="18"/>
                <w:szCs w:val="18"/>
              </w:rPr>
            </w:pPr>
            <w:r>
              <w:rPr>
                <w:rFonts w:ascii="黑体" w:hAnsi="黑体" w:eastAsia="黑体"/>
                <w:color w:val="auto"/>
                <w:sz w:val="18"/>
                <w:szCs w:val="18"/>
              </w:rPr>
              <w:t>招聘对象范围</w:t>
            </w:r>
          </w:p>
        </w:tc>
        <w:tc>
          <w:tcPr>
            <w:tcW w:w="6090" w:type="dxa"/>
            <w:gridSpan w:val="4"/>
            <w:noWrap w:val="0"/>
            <w:vAlign w:val="center"/>
          </w:tcPr>
          <w:p>
            <w:pPr>
              <w:ind w:left="291"/>
              <w:jc w:val="center"/>
              <w:rPr>
                <w:rFonts w:ascii="黑体" w:hAnsi="黑体" w:eastAsia="黑体"/>
                <w:color w:val="auto"/>
                <w:sz w:val="18"/>
                <w:szCs w:val="18"/>
              </w:rPr>
            </w:pPr>
            <w:r>
              <w:rPr>
                <w:rFonts w:ascii="黑体" w:hAnsi="黑体" w:eastAsia="黑体"/>
                <w:color w:val="auto"/>
                <w:sz w:val="18"/>
                <w:szCs w:val="18"/>
              </w:rPr>
              <w:t>其他条件要求</w:t>
            </w:r>
          </w:p>
        </w:tc>
        <w:tc>
          <w:tcPr>
            <w:tcW w:w="2306" w:type="dxa"/>
            <w:vMerge w:val="restart"/>
            <w:noWrap w:val="0"/>
            <w:vAlign w:val="center"/>
          </w:tcPr>
          <w:p>
            <w:pPr>
              <w:jc w:val="center"/>
              <w:rPr>
                <w:rFonts w:ascii="黑体" w:hAnsi="黑体" w:eastAsia="黑体"/>
                <w:color w:val="auto"/>
                <w:sz w:val="21"/>
                <w:szCs w:val="21"/>
              </w:rPr>
            </w:pPr>
            <w:r>
              <w:rPr>
                <w:rFonts w:ascii="黑体" w:hAnsi="黑体" w:eastAsia="黑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jc w:val="center"/>
        </w:trPr>
        <w:tc>
          <w:tcPr>
            <w:tcW w:w="685" w:type="dxa"/>
            <w:vMerge w:val="continue"/>
            <w:noWrap w:val="0"/>
            <w:vAlign w:val="center"/>
          </w:tcPr>
          <w:p>
            <w:pPr>
              <w:rPr>
                <w:color w:val="auto"/>
                <w:sz w:val="18"/>
                <w:szCs w:val="18"/>
              </w:rPr>
            </w:pPr>
          </w:p>
        </w:tc>
        <w:tc>
          <w:tcPr>
            <w:tcW w:w="480" w:type="dxa"/>
            <w:noWrap w:val="0"/>
            <w:tcMar>
              <w:left w:w="28" w:type="dxa"/>
              <w:right w:w="28" w:type="dxa"/>
            </w:tcMar>
            <w:vAlign w:val="center"/>
          </w:tcPr>
          <w:p>
            <w:pPr>
              <w:jc w:val="center"/>
              <w:rPr>
                <w:rFonts w:hint="eastAsia" w:ascii="黑体" w:hAnsi="黑体" w:eastAsia="黑体"/>
                <w:color w:val="auto"/>
                <w:sz w:val="18"/>
                <w:szCs w:val="18"/>
              </w:rPr>
            </w:pPr>
            <w:r>
              <w:rPr>
                <w:rFonts w:ascii="黑体" w:hAnsi="黑体" w:eastAsia="黑体"/>
                <w:color w:val="auto"/>
                <w:sz w:val="18"/>
                <w:szCs w:val="18"/>
              </w:rPr>
              <w:t>岗位</w:t>
            </w:r>
          </w:p>
          <w:p>
            <w:pPr>
              <w:jc w:val="center"/>
              <w:rPr>
                <w:rFonts w:ascii="黑体" w:hAnsi="黑体" w:eastAsia="黑体"/>
                <w:color w:val="auto"/>
                <w:sz w:val="18"/>
                <w:szCs w:val="18"/>
              </w:rPr>
            </w:pPr>
            <w:r>
              <w:rPr>
                <w:rFonts w:ascii="黑体" w:hAnsi="黑体" w:eastAsia="黑体"/>
                <w:color w:val="auto"/>
                <w:sz w:val="18"/>
                <w:szCs w:val="18"/>
              </w:rPr>
              <w:t>类别</w:t>
            </w:r>
          </w:p>
        </w:tc>
        <w:tc>
          <w:tcPr>
            <w:tcW w:w="930" w:type="dxa"/>
            <w:noWrap w:val="0"/>
            <w:vAlign w:val="center"/>
          </w:tcPr>
          <w:p>
            <w:pPr>
              <w:jc w:val="center"/>
              <w:rPr>
                <w:rFonts w:ascii="黑体" w:hAnsi="黑体" w:eastAsia="黑体"/>
                <w:color w:val="auto"/>
                <w:sz w:val="18"/>
                <w:szCs w:val="18"/>
              </w:rPr>
            </w:pPr>
            <w:r>
              <w:rPr>
                <w:rFonts w:ascii="黑体" w:hAnsi="黑体" w:eastAsia="黑体"/>
                <w:color w:val="auto"/>
                <w:sz w:val="18"/>
                <w:szCs w:val="18"/>
              </w:rPr>
              <w:t>岗位</w:t>
            </w:r>
          </w:p>
          <w:p>
            <w:pPr>
              <w:jc w:val="center"/>
              <w:rPr>
                <w:rFonts w:ascii="黑体" w:hAnsi="黑体" w:eastAsia="黑体"/>
                <w:color w:val="auto"/>
                <w:sz w:val="18"/>
                <w:szCs w:val="18"/>
              </w:rPr>
            </w:pPr>
            <w:r>
              <w:rPr>
                <w:rFonts w:ascii="黑体" w:hAnsi="黑体" w:eastAsia="黑体"/>
                <w:color w:val="auto"/>
                <w:sz w:val="18"/>
                <w:szCs w:val="18"/>
              </w:rPr>
              <w:t>名称</w:t>
            </w:r>
          </w:p>
        </w:tc>
        <w:tc>
          <w:tcPr>
            <w:tcW w:w="855" w:type="dxa"/>
            <w:vMerge w:val="continue"/>
            <w:noWrap w:val="0"/>
            <w:vAlign w:val="center"/>
          </w:tcPr>
          <w:p>
            <w:pPr>
              <w:rPr>
                <w:color w:val="auto"/>
                <w:sz w:val="18"/>
                <w:szCs w:val="18"/>
              </w:rPr>
            </w:pPr>
          </w:p>
        </w:tc>
        <w:tc>
          <w:tcPr>
            <w:tcW w:w="480" w:type="dxa"/>
            <w:vMerge w:val="continue"/>
            <w:noWrap w:val="0"/>
            <w:vAlign w:val="center"/>
          </w:tcPr>
          <w:p>
            <w:pPr>
              <w:rPr>
                <w:color w:val="auto"/>
                <w:sz w:val="18"/>
                <w:szCs w:val="18"/>
              </w:rPr>
            </w:pPr>
          </w:p>
        </w:tc>
        <w:tc>
          <w:tcPr>
            <w:tcW w:w="645" w:type="dxa"/>
            <w:vMerge w:val="continue"/>
            <w:noWrap w:val="0"/>
            <w:vAlign w:val="center"/>
          </w:tcPr>
          <w:p>
            <w:pPr>
              <w:rPr>
                <w:color w:val="auto"/>
                <w:sz w:val="18"/>
                <w:szCs w:val="18"/>
              </w:rPr>
            </w:pPr>
          </w:p>
        </w:tc>
        <w:tc>
          <w:tcPr>
            <w:tcW w:w="1335" w:type="dxa"/>
            <w:noWrap w:val="0"/>
            <w:vAlign w:val="center"/>
          </w:tcPr>
          <w:p>
            <w:pPr>
              <w:jc w:val="center"/>
              <w:rPr>
                <w:rFonts w:ascii="黑体" w:hAnsi="黑体" w:eastAsia="黑体"/>
                <w:color w:val="auto"/>
                <w:sz w:val="18"/>
                <w:szCs w:val="18"/>
              </w:rPr>
            </w:pPr>
            <w:r>
              <w:rPr>
                <w:rFonts w:ascii="黑体" w:hAnsi="黑体" w:eastAsia="黑体"/>
                <w:color w:val="auto"/>
                <w:sz w:val="18"/>
                <w:szCs w:val="18"/>
              </w:rPr>
              <w:t>年龄</w:t>
            </w:r>
          </w:p>
        </w:tc>
        <w:tc>
          <w:tcPr>
            <w:tcW w:w="1080" w:type="dxa"/>
            <w:noWrap w:val="0"/>
            <w:vAlign w:val="center"/>
          </w:tcPr>
          <w:p>
            <w:pPr>
              <w:jc w:val="center"/>
              <w:rPr>
                <w:rFonts w:ascii="黑体" w:hAnsi="黑体" w:eastAsia="黑体"/>
                <w:color w:val="auto"/>
                <w:sz w:val="18"/>
                <w:szCs w:val="18"/>
              </w:rPr>
            </w:pPr>
            <w:r>
              <w:rPr>
                <w:rFonts w:ascii="黑体" w:hAnsi="黑体" w:eastAsia="黑体"/>
                <w:color w:val="auto"/>
                <w:sz w:val="18"/>
                <w:szCs w:val="18"/>
              </w:rPr>
              <w:t>学历</w:t>
            </w:r>
          </w:p>
          <w:p>
            <w:pPr>
              <w:jc w:val="center"/>
              <w:rPr>
                <w:rFonts w:ascii="黑体" w:hAnsi="黑体" w:eastAsia="黑体"/>
                <w:color w:val="auto"/>
                <w:sz w:val="18"/>
                <w:szCs w:val="18"/>
              </w:rPr>
            </w:pPr>
            <w:r>
              <w:rPr>
                <w:rFonts w:ascii="黑体" w:hAnsi="黑体" w:eastAsia="黑体"/>
                <w:color w:val="auto"/>
                <w:sz w:val="18"/>
                <w:szCs w:val="18"/>
              </w:rPr>
              <w:t>或学位</w:t>
            </w:r>
          </w:p>
        </w:tc>
        <w:tc>
          <w:tcPr>
            <w:tcW w:w="2850" w:type="dxa"/>
            <w:noWrap w:val="0"/>
            <w:vAlign w:val="center"/>
          </w:tcPr>
          <w:p>
            <w:pPr>
              <w:jc w:val="center"/>
              <w:rPr>
                <w:rFonts w:ascii="黑体" w:hAnsi="黑体" w:eastAsia="黑体"/>
                <w:color w:val="auto"/>
                <w:sz w:val="18"/>
                <w:szCs w:val="18"/>
              </w:rPr>
            </w:pPr>
            <w:r>
              <w:rPr>
                <w:rFonts w:ascii="黑体" w:hAnsi="黑体" w:eastAsia="黑体"/>
                <w:color w:val="auto"/>
                <w:sz w:val="18"/>
                <w:szCs w:val="18"/>
              </w:rPr>
              <w:t>专业条件要求</w:t>
            </w:r>
          </w:p>
        </w:tc>
        <w:tc>
          <w:tcPr>
            <w:tcW w:w="825" w:type="dxa"/>
            <w:noWrap w:val="0"/>
            <w:vAlign w:val="center"/>
          </w:tcPr>
          <w:p>
            <w:pPr>
              <w:jc w:val="center"/>
              <w:rPr>
                <w:rFonts w:ascii="黑体" w:hAnsi="黑体" w:eastAsia="黑体"/>
                <w:color w:val="auto"/>
                <w:sz w:val="18"/>
                <w:szCs w:val="18"/>
              </w:rPr>
            </w:pPr>
            <w:r>
              <w:rPr>
                <w:rFonts w:ascii="黑体" w:hAnsi="黑体" w:eastAsia="黑体"/>
                <w:color w:val="auto"/>
                <w:sz w:val="18"/>
                <w:szCs w:val="18"/>
              </w:rPr>
              <w:t>其他</w:t>
            </w:r>
          </w:p>
        </w:tc>
        <w:tc>
          <w:tcPr>
            <w:tcW w:w="2306" w:type="dxa"/>
            <w:vMerge w:val="continue"/>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atLeast"/>
          <w:jc w:val="center"/>
        </w:trPr>
        <w:tc>
          <w:tcPr>
            <w:tcW w:w="685" w:type="dxa"/>
            <w:noWrap w:val="0"/>
            <w:vAlign w:val="center"/>
          </w:tcPr>
          <w:p>
            <w:pPr>
              <w:spacing w:line="240" w:lineRule="exact"/>
              <w:jc w:val="center"/>
              <w:rPr>
                <w:rFonts w:hint="eastAsia" w:ascii="仿宋" w:hAnsi="仿宋" w:eastAsia="仿宋" w:cs="仿宋"/>
                <w:color w:val="auto"/>
                <w:sz w:val="15"/>
                <w:szCs w:val="15"/>
              </w:rPr>
            </w:pPr>
            <w:r>
              <w:rPr>
                <w:rFonts w:hint="eastAsia" w:ascii="仿宋" w:hAnsi="仿宋" w:eastAsia="仿宋" w:cs="仿宋"/>
                <w:color w:val="auto"/>
                <w:sz w:val="15"/>
                <w:szCs w:val="15"/>
              </w:rPr>
              <w:t>四川省林业</w:t>
            </w:r>
            <w:r>
              <w:rPr>
                <w:rFonts w:hint="eastAsia" w:ascii="仿宋" w:hAnsi="仿宋" w:eastAsia="仿宋" w:cs="仿宋"/>
                <w:color w:val="auto"/>
                <w:sz w:val="15"/>
                <w:szCs w:val="15"/>
                <w:lang w:val="en-US" w:eastAsia="zh-CN"/>
              </w:rPr>
              <w:t>和草原</w:t>
            </w:r>
            <w:r>
              <w:rPr>
                <w:rFonts w:hint="eastAsia" w:ascii="仿宋" w:hAnsi="仿宋" w:eastAsia="仿宋" w:cs="仿宋"/>
                <w:color w:val="auto"/>
                <w:sz w:val="15"/>
                <w:szCs w:val="15"/>
              </w:rPr>
              <w:t>调查规划院</w:t>
            </w:r>
          </w:p>
        </w:tc>
        <w:tc>
          <w:tcPr>
            <w:tcW w:w="480" w:type="dxa"/>
            <w:noWrap w:val="0"/>
            <w:tcMar>
              <w:left w:w="28" w:type="dxa"/>
              <w:right w:w="28" w:type="dxa"/>
            </w:tcMar>
            <w:vAlign w:val="center"/>
          </w:tcPr>
          <w:p>
            <w:pPr>
              <w:spacing w:line="240" w:lineRule="exact"/>
              <w:jc w:val="center"/>
              <w:rPr>
                <w:rFonts w:hint="eastAsia" w:ascii="仿宋" w:hAnsi="仿宋" w:eastAsia="仿宋" w:cs="仿宋"/>
                <w:color w:val="auto"/>
                <w:sz w:val="15"/>
                <w:szCs w:val="15"/>
              </w:rPr>
            </w:pPr>
            <w:r>
              <w:rPr>
                <w:rFonts w:hint="eastAsia" w:ascii="仿宋" w:hAnsi="仿宋" w:eastAsia="仿宋" w:cs="仿宋"/>
                <w:color w:val="auto"/>
                <w:sz w:val="15"/>
                <w:szCs w:val="15"/>
              </w:rPr>
              <w:t>专业</w:t>
            </w:r>
          </w:p>
          <w:p>
            <w:pPr>
              <w:spacing w:line="240" w:lineRule="exact"/>
              <w:jc w:val="center"/>
              <w:rPr>
                <w:rFonts w:hint="eastAsia" w:ascii="仿宋" w:hAnsi="仿宋" w:eastAsia="仿宋" w:cs="仿宋"/>
                <w:color w:val="auto"/>
                <w:sz w:val="15"/>
                <w:szCs w:val="15"/>
              </w:rPr>
            </w:pPr>
            <w:r>
              <w:rPr>
                <w:rFonts w:hint="eastAsia" w:ascii="仿宋" w:hAnsi="仿宋" w:eastAsia="仿宋" w:cs="仿宋"/>
                <w:color w:val="auto"/>
                <w:sz w:val="15"/>
                <w:szCs w:val="15"/>
              </w:rPr>
              <w:t>技术</w:t>
            </w:r>
          </w:p>
        </w:tc>
        <w:tc>
          <w:tcPr>
            <w:tcW w:w="930" w:type="dxa"/>
            <w:noWrap w:val="0"/>
            <w:vAlign w:val="center"/>
          </w:tcPr>
          <w:p>
            <w:pPr>
              <w:spacing w:line="240" w:lineRule="exact"/>
              <w:jc w:val="center"/>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林草生态规划</w:t>
            </w:r>
          </w:p>
        </w:tc>
        <w:tc>
          <w:tcPr>
            <w:tcW w:w="855" w:type="dxa"/>
            <w:noWrap w:val="0"/>
            <w:vAlign w:val="center"/>
          </w:tcPr>
          <w:p>
            <w:pPr>
              <w:spacing w:line="340" w:lineRule="exact"/>
              <w:jc w:val="center"/>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sclgy</w:t>
            </w:r>
          </w:p>
          <w:p>
            <w:pPr>
              <w:spacing w:line="340" w:lineRule="exact"/>
              <w:jc w:val="center"/>
              <w:rPr>
                <w:rFonts w:hint="eastAsia" w:ascii="仿宋" w:hAnsi="仿宋" w:eastAsia="仿宋" w:cs="仿宋"/>
                <w:color w:val="auto"/>
                <w:sz w:val="15"/>
                <w:szCs w:val="15"/>
                <w:lang w:val="en-US"/>
              </w:rPr>
            </w:pPr>
            <w:r>
              <w:rPr>
                <w:rFonts w:hint="eastAsia" w:ascii="仿宋" w:hAnsi="仿宋" w:eastAsia="仿宋" w:cs="仿宋"/>
                <w:color w:val="auto"/>
                <w:sz w:val="15"/>
                <w:szCs w:val="15"/>
              </w:rPr>
              <w:t>20</w:t>
            </w:r>
            <w:r>
              <w:rPr>
                <w:rFonts w:hint="eastAsia" w:ascii="仿宋" w:hAnsi="仿宋" w:eastAsia="仿宋" w:cs="仿宋"/>
                <w:color w:val="auto"/>
                <w:sz w:val="15"/>
                <w:szCs w:val="15"/>
                <w:lang w:val="en-US" w:eastAsia="zh-CN"/>
              </w:rPr>
              <w:t>2201</w:t>
            </w:r>
          </w:p>
        </w:tc>
        <w:tc>
          <w:tcPr>
            <w:tcW w:w="480" w:type="dxa"/>
            <w:noWrap w:val="0"/>
            <w:vAlign w:val="center"/>
          </w:tcPr>
          <w:p>
            <w:pPr>
              <w:spacing w:line="340" w:lineRule="exact"/>
              <w:jc w:val="center"/>
              <w:rPr>
                <w:rFonts w:hint="eastAsia" w:ascii="仿宋" w:hAnsi="仿宋" w:eastAsia="仿宋" w:cs="仿宋"/>
                <w:color w:val="auto"/>
                <w:sz w:val="15"/>
                <w:szCs w:val="15"/>
              </w:rPr>
            </w:pPr>
            <w:r>
              <w:rPr>
                <w:rFonts w:hint="eastAsia" w:ascii="仿宋" w:hAnsi="仿宋" w:eastAsia="仿宋" w:cs="仿宋"/>
                <w:color w:val="auto"/>
                <w:sz w:val="15"/>
                <w:szCs w:val="15"/>
              </w:rPr>
              <w:t>1</w:t>
            </w:r>
          </w:p>
        </w:tc>
        <w:tc>
          <w:tcPr>
            <w:tcW w:w="645" w:type="dxa"/>
            <w:noWrap w:val="0"/>
            <w:vAlign w:val="center"/>
          </w:tcPr>
          <w:p>
            <w:pPr>
              <w:spacing w:line="240" w:lineRule="exact"/>
              <w:jc w:val="center"/>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详见</w:t>
            </w:r>
          </w:p>
          <w:p>
            <w:pPr>
              <w:spacing w:line="240" w:lineRule="exact"/>
              <w:jc w:val="center"/>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公告</w:t>
            </w:r>
          </w:p>
        </w:tc>
        <w:tc>
          <w:tcPr>
            <w:tcW w:w="1335" w:type="dxa"/>
            <w:noWrap w:val="0"/>
            <w:vAlign w:val="center"/>
          </w:tcPr>
          <w:p>
            <w:pPr>
              <w:spacing w:line="240" w:lineRule="exact"/>
              <w:jc w:val="center"/>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1986年1月1日及以后出生</w:t>
            </w:r>
          </w:p>
        </w:tc>
        <w:tc>
          <w:tcPr>
            <w:tcW w:w="1080" w:type="dxa"/>
            <w:noWrap w:val="0"/>
            <w:vAlign w:val="center"/>
          </w:tcPr>
          <w:p>
            <w:pPr>
              <w:spacing w:line="280" w:lineRule="exact"/>
              <w:jc w:val="center"/>
              <w:rPr>
                <w:rFonts w:hint="eastAsia" w:ascii="仿宋" w:hAnsi="仿宋" w:eastAsia="仿宋" w:cs="仿宋"/>
                <w:color w:val="auto"/>
                <w:sz w:val="15"/>
                <w:szCs w:val="15"/>
              </w:rPr>
            </w:pPr>
            <w:r>
              <w:rPr>
                <w:rFonts w:hint="eastAsia" w:ascii="仿宋" w:hAnsi="仿宋" w:eastAsia="仿宋" w:cs="仿宋"/>
                <w:color w:val="auto"/>
                <w:sz w:val="15"/>
                <w:szCs w:val="15"/>
              </w:rPr>
              <w:t>博士研究生</w:t>
            </w:r>
          </w:p>
        </w:tc>
        <w:tc>
          <w:tcPr>
            <w:tcW w:w="2850" w:type="dxa"/>
            <w:noWrap w:val="0"/>
            <w:vAlign w:val="center"/>
          </w:tcPr>
          <w:p>
            <w:pPr>
              <w:spacing w:line="240" w:lineRule="exact"/>
              <w:jc w:val="center"/>
              <w:rPr>
                <w:rFonts w:hint="eastAsia" w:ascii="仿宋" w:hAnsi="仿宋" w:eastAsia="仿宋" w:cs="仿宋"/>
                <w:color w:val="auto"/>
                <w:sz w:val="15"/>
                <w:szCs w:val="15"/>
                <w:lang w:val="en-US" w:eastAsia="zh-CN"/>
              </w:rPr>
            </w:pPr>
            <w:r>
              <w:rPr>
                <w:rFonts w:hint="eastAsia" w:ascii="仿宋" w:hAnsi="仿宋" w:eastAsia="仿宋" w:cs="仿宋"/>
                <w:color w:val="auto"/>
                <w:sz w:val="15"/>
                <w:szCs w:val="15"/>
                <w:lang w:val="en-US" w:eastAsia="zh-CN"/>
              </w:rPr>
              <w:t>森林生态学、湿地生态学、</w:t>
            </w:r>
            <w:r>
              <w:rPr>
                <w:rFonts w:hint="eastAsia" w:ascii="仿宋" w:hAnsi="仿宋" w:eastAsia="仿宋" w:cs="仿宋"/>
                <w:color w:val="auto"/>
                <w:sz w:val="15"/>
                <w:szCs w:val="15"/>
              </w:rPr>
              <w:t>生态学</w:t>
            </w:r>
            <w:r>
              <w:rPr>
                <w:rFonts w:hint="eastAsia" w:ascii="仿宋" w:hAnsi="仿宋" w:eastAsia="仿宋" w:cs="仿宋"/>
                <w:color w:val="auto"/>
                <w:sz w:val="15"/>
                <w:szCs w:val="15"/>
                <w:lang w:eastAsia="zh-CN"/>
              </w:rPr>
              <w:t>（</w:t>
            </w:r>
            <w:r>
              <w:rPr>
                <w:rFonts w:hint="eastAsia" w:ascii="仿宋" w:hAnsi="仿宋" w:eastAsia="仿宋" w:cs="仿宋"/>
                <w:color w:val="auto"/>
                <w:sz w:val="15"/>
                <w:szCs w:val="15"/>
                <w:lang w:val="en-US" w:eastAsia="zh-CN"/>
              </w:rPr>
              <w:t>限森林生态、湿地生态、恢&lt;修&gt;复生态等宏观研究方向）</w:t>
            </w:r>
          </w:p>
        </w:tc>
        <w:tc>
          <w:tcPr>
            <w:tcW w:w="825" w:type="dxa"/>
            <w:noWrap w:val="0"/>
            <w:vAlign w:val="center"/>
          </w:tcPr>
          <w:p>
            <w:pPr>
              <w:spacing w:line="340" w:lineRule="exact"/>
              <w:jc w:val="center"/>
              <w:rPr>
                <w:rFonts w:hint="eastAsia" w:ascii="仿宋" w:hAnsi="仿宋" w:eastAsia="仿宋" w:cs="仿宋"/>
                <w:color w:val="auto"/>
                <w:sz w:val="15"/>
                <w:szCs w:val="15"/>
              </w:rPr>
            </w:pPr>
          </w:p>
        </w:tc>
        <w:tc>
          <w:tcPr>
            <w:tcW w:w="2306" w:type="dxa"/>
            <w:noWrap w:val="0"/>
            <w:vAlign w:val="center"/>
          </w:tcPr>
          <w:p>
            <w:pPr>
              <w:spacing w:line="280" w:lineRule="exact"/>
              <w:jc w:val="center"/>
              <w:rPr>
                <w:rFonts w:hint="eastAsia" w:ascii="仿宋" w:hAnsi="仿宋" w:eastAsia="仿宋" w:cs="仿宋"/>
                <w:color w:val="auto"/>
                <w:sz w:val="15"/>
                <w:szCs w:val="15"/>
                <w:lang w:eastAsia="zh-CN"/>
              </w:rPr>
            </w:pPr>
            <w:r>
              <w:rPr>
                <w:rFonts w:hint="eastAsia" w:ascii="仿宋" w:hAnsi="仿宋" w:eastAsia="仿宋" w:cs="仿宋"/>
                <w:color w:val="auto"/>
                <w:sz w:val="15"/>
                <w:szCs w:val="15"/>
                <w:lang w:val="en-US" w:eastAsia="zh-CN"/>
              </w:rPr>
              <w:t>1.</w:t>
            </w:r>
            <w:r>
              <w:rPr>
                <w:rFonts w:hint="eastAsia" w:ascii="仿宋" w:hAnsi="仿宋" w:eastAsia="仿宋" w:cs="仿宋"/>
                <w:color w:val="auto"/>
                <w:sz w:val="15"/>
                <w:szCs w:val="15"/>
              </w:rPr>
              <w:t>此岗位长期从事野外工作</w:t>
            </w:r>
            <w:r>
              <w:rPr>
                <w:rFonts w:hint="eastAsia" w:ascii="仿宋" w:hAnsi="仿宋" w:eastAsia="仿宋" w:cs="仿宋"/>
                <w:color w:val="auto"/>
                <w:sz w:val="15"/>
                <w:szCs w:val="15"/>
                <w:lang w:eastAsia="zh-CN"/>
              </w:rPr>
              <w:t>。</w:t>
            </w:r>
          </w:p>
          <w:p>
            <w:pPr>
              <w:spacing w:line="280" w:lineRule="exact"/>
              <w:jc w:val="center"/>
              <w:rPr>
                <w:rFonts w:hint="eastAsia" w:ascii="仿宋" w:hAnsi="仿宋" w:eastAsia="仿宋" w:cs="仿宋"/>
                <w:color w:val="auto"/>
                <w:sz w:val="15"/>
                <w:szCs w:val="15"/>
              </w:rPr>
            </w:pPr>
            <w:r>
              <w:rPr>
                <w:rFonts w:hint="eastAsia" w:ascii="仿宋" w:hAnsi="仿宋" w:eastAsia="仿宋" w:cs="仿宋"/>
                <w:color w:val="auto"/>
                <w:sz w:val="15"/>
                <w:szCs w:val="15"/>
                <w:lang w:val="en-US" w:eastAsia="zh-CN"/>
              </w:rPr>
              <w:t>2.生态学专业考生需提供能够证明其研究方向的毕业论文或课题等佐证材料。</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0MWZmYzRhMWZjNmRlYmEzNGNiMWM4NDVmMmUyYTkifQ=="/>
  </w:docVars>
  <w:rsids>
    <w:rsidRoot w:val="5E900439"/>
    <w:rsid w:val="5E900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2022-07-29T08:11:00Z</dcterms:created>
  <dc:creator>胥蛋蛋</dc:creator>
  <cp:lastModifiedBy>胥蛋蛋</cp:lastModifiedBy>
  <dcterms:modified xsi:type="dcterms:W3CDTF">2022-07-29T08:11:55Z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FF61F217D8DE4C93938D63A8F169E5BE</vt:lpwstr>
  </property>
</Properties>
</file>