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4"/>
        <w:gridCol w:w="2000"/>
        <w:gridCol w:w="648"/>
        <w:gridCol w:w="4608"/>
        <w:gridCol w:w="5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369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40"/>
                <w:szCs w:val="40"/>
                <w:u w:val="none"/>
              </w:rPr>
            </w:pPr>
            <w:r>
              <w:rPr>
                <w:rFonts w:hint="eastAsia" w:ascii="宋体" w:eastAsia="宋体" w:cs="宋体"/>
                <w:b/>
                <w:bCs/>
                <w:i w:val="0"/>
                <w:iCs w:val="0"/>
                <w:color w:val="000000"/>
                <w:kern w:val="0"/>
                <w:sz w:val="40"/>
                <w:szCs w:val="40"/>
                <w:u w:val="none"/>
                <w:lang w:val="en-US" w:eastAsia="zh-CN"/>
              </w:rPr>
              <w:t>南昌市市本级中小学校引进优秀教育管理人才和专业技术人才岗位信息表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序号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岗位</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引进人数</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任职条件</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6"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省重点中学校长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（南昌一中、南昌二中、南昌三中、南昌十中、南昌十九中、南昌市外国语学校、南昌市豫章中学、南昌市铁路一中、南昌市洪都中学）</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符合以下条件之一者：①所在学校为省重点中学或省重点建设中学；②个人获得省级以上校长荣誉称号；③所在学校获得省级以上综合先进集体荣誉称号。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w:t>
            </w:r>
            <w:bookmarkStart w:id="0" w:name="_GoBack"/>
            <w:bookmarkEnd w:id="0"/>
            <w:r>
              <w:rPr>
                <w:rFonts w:hint="eastAsia" w:ascii="宋体" w:eastAsia="宋体" w:cs="宋体"/>
                <w:i w:val="0"/>
                <w:iCs w:val="0"/>
                <w:color w:val="000000"/>
                <w:kern w:val="0"/>
                <w:sz w:val="22"/>
                <w:szCs w:val="22"/>
                <w:u w:val="none"/>
                <w:lang w:val="en-US" w:eastAsia="zh-CN"/>
              </w:rPr>
              <w:t>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1.把握重点中学办学发展方向，牵头制定学校发展规划、“三重一大”制度，基本管理制度、内部教育教学管理组织机构设置方案。                                                                                                               2.发挥重点中学示范引领作用，以强带弱，促进全市教育水平整体提升。                                                                                                                    3.深入开展教学活动和教育教学研究，加强教育教学管理，深化教育教学改革，提升学校办学质量。                                                                                                                                 4.加强学生德育、体育、美育、劳动教育和心理健康教育，提高学校思政课教学质量。                                                                                                                     5.研究拟订和执行学校年度预算、大额度支出，加强财务管理和审计监督。                                                                                                                                       6.加强教师等各类人才日常教育管理服务工作，依据有关规定与教师以及内部其他工作人员订立、解除或终止聘用合同。                                                                                                                             7.做好学校安全稳定、后勤保障、文明校园等工作，做好对外交流合作工作，形成育人合力。                                                                                            8.上级教育主管部门交办的其他工作任务。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省重点中学副校长（南昌一中、南昌二中、南昌三中、南昌十中、南昌十九中、南昌市外国语学校、南昌市豫章中学、南昌市铁路一中、南昌市洪都中学）</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6</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 xml:space="preserve"> </w:t>
            </w: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大学本科及以上学历；在高中学校（含高级中学、完中、中职、十二年制学校）任分管教学副校长满3年；具有相应层次的教师资格证，且中小学高级教师及以上职称满1年。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w:t>
            </w:r>
            <w:r>
              <w:rPr>
                <w:rFonts w:hint="eastAsia" w:ascii="东文宋体" w:eastAsia="东文宋体" w:cs="东文宋体"/>
                <w:i w:val="0"/>
                <w:iCs w:val="0"/>
                <w:color w:val="000000"/>
                <w:kern w:val="0"/>
                <w:sz w:val="22"/>
                <w:szCs w:val="22"/>
                <w:u w:val="none"/>
                <w:lang w:val="en-US" w:eastAsia="zh-CN"/>
              </w:rPr>
              <w:t>③</w:t>
            </w:r>
            <w:r>
              <w:rPr>
                <w:rFonts w:hint="eastAsia" w:ascii="汉仪书宋二S" w:eastAsia="汉仪书宋二S" w:cs="汉仪书宋二S"/>
                <w:i w:val="0"/>
                <w:iCs w:val="0"/>
                <w:color w:val="000000"/>
                <w:kern w:val="0"/>
                <w:sz w:val="22"/>
                <w:szCs w:val="22"/>
                <w:u w:val="none"/>
                <w:lang w:val="en-US" w:eastAsia="zh-CN"/>
              </w:rPr>
              <w:t>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1.协助校长分管好校园管理中的具体领域，研究拟订和执行具体领域的发展规划、基本管理制度、内部教育教学管理组织机构设置方案。                                                                                                     2.突出分管领域的示范引领作用，以强带弱，所分管领域的工作要在全市教育系统中走在前列。                                                                                                                                                                      3.研究拟订和执行分管领域的具体规章制度、年度工作计划。                                       4.履行法律法规和学校章程规定的其他职权。                                                                                                                                                                         5.完成学校党政主要领导交办的其他任务。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3</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国家级重点中等职业学校副校长（南昌市第一中等专业学校）</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大学本科及以上学历；在高中学校（含高级中学、完中、中职、十二年制学校）任分管教学副校长满3年；具有相应层次的教师资格证，且中小学高级教师及以上职称满1年。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w:t>
            </w:r>
            <w:r>
              <w:rPr>
                <w:rFonts w:hint="eastAsia" w:ascii="东文宋体" w:eastAsia="东文宋体" w:cs="东文宋体"/>
                <w:i w:val="0"/>
                <w:iCs w:val="0"/>
                <w:color w:val="000000"/>
                <w:kern w:val="0"/>
                <w:sz w:val="22"/>
                <w:szCs w:val="22"/>
                <w:u w:val="none"/>
                <w:lang w:val="en-US" w:eastAsia="zh-CN"/>
              </w:rPr>
              <w:t>③</w:t>
            </w:r>
            <w:r>
              <w:rPr>
                <w:rFonts w:hint="eastAsia" w:ascii="汉仪书宋二S" w:eastAsia="汉仪书宋二S" w:cs="汉仪书宋二S"/>
                <w:i w:val="0"/>
                <w:iCs w:val="0"/>
                <w:color w:val="000000"/>
                <w:kern w:val="0"/>
                <w:sz w:val="22"/>
                <w:szCs w:val="22"/>
                <w:u w:val="none"/>
                <w:lang w:val="en-US" w:eastAsia="zh-CN"/>
              </w:rPr>
              <w:t>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1.协助校长分管好校园管理中的具体领域，研究拟订和执行具体领域的发展规划、基本管理制度、内部教育教学管理组织机构设置方案。                                                                                                     2.突出分管领域的示范引领作用，以强带弱，所分管领域的工作要在全市教育系统中走在前列。                                                                                       3.研究拟订和执行分管领域的具体规章制度、年度工作计划。                                       4.履行法律法规和学校章程规定的其他职权。                                                                                                                                                                                          5.完成学校党政主要领导交办的其他任务。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2"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4</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优秀专业技术人才</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iCs w:val="0"/>
                <w:color w:val="000000"/>
                <w:sz w:val="22"/>
                <w:szCs w:val="22"/>
                <w:u w:val="none"/>
                <w:lang w:val="en-US"/>
              </w:rPr>
            </w:pPr>
            <w:r>
              <w:rPr>
                <w:rFonts w:hint="eastAsia" w:ascii="宋体" w:eastAsia="宋体" w:cs="宋体"/>
                <w:i w:val="0"/>
                <w:iCs w:val="0"/>
                <w:color w:val="000000"/>
                <w:kern w:val="0"/>
                <w:sz w:val="22"/>
                <w:szCs w:val="22"/>
                <w:u w:val="none"/>
                <w:lang w:val="en-US" w:eastAsia="zh-CN"/>
              </w:rPr>
              <w:t>20</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 xml:space="preserve">     大学本科及以上；具有正高级专业技术职务任职资格、省特级教师荣誉、省级学科带头人称号之一的；年龄在50周岁以下，身心健康。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 xml:space="preserve">     发挥优秀专业技术人才示范带头作用，深入开展学校（单位）教育科研事业的研究，提高学校（单位）教育科研水平。</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东文宋体">
    <w:altName w:val="宋体"/>
    <w:panose1 w:val="00000000000000000000"/>
    <w:charset w:val="00"/>
    <w:family w:val="auto"/>
    <w:pitch w:val="default"/>
    <w:sig w:usb0="00000000" w:usb1="00000000" w:usb2="00000000" w:usb3="00000000" w:csb0="00000000"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TljMzQ2Y2I2NTc2ZGYzODMzMWNkM2ExMDk3ZmEifQ=="/>
  </w:docVars>
  <w:rsids>
    <w:rsidRoot w:val="6C526C57"/>
    <w:rsid w:val="5E2B02DD"/>
    <w:rsid w:val="6C52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等线" w:hAnsi="Times New Roman" w:eastAsia="等线" w:cs="Arial"/>
      <w:kern w:val="2"/>
      <w:sz w:val="18"/>
      <w:szCs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1475</Words>
  <Characters>1507</Characters>
  <Lines>0</Lines>
  <Paragraphs>0</Paragraphs>
  <TotalTime>1</TotalTime>
  <ScaleCrop>false</ScaleCrop>
  <LinksUpToDate>false</LinksUpToDate>
  <CharactersWithSpaces>3231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2022-07-19T07:01:00Z</dcterms:created>
  <dc:creator>何斌</dc:creator>
  <cp:lastModifiedBy>何斌</cp:lastModifiedBy>
  <dcterms:modified xsi:type="dcterms:W3CDTF">2022-07-19T07:02:32Z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18CCC8D81EBC49B09411DFE6A1A5D3B0</vt:lpwstr>
  </property>
</Properties>
</file>