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60" w:lineRule="exact"/>
        <w:jc w:val="both"/>
        <w:rPr>
          <w:rFonts w:ascii="仿宋_GB2312" w:hAnsi="方正小标宋简体" w:eastAsia="仿宋_GB2312" w:cs="方正小标宋简体"/>
          <w:b w:val="0"/>
          <w:color w:val="333333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b w:val="0"/>
          <w:color w:val="333333"/>
          <w:shd w:val="clear" w:color="auto" w:fill="FFFFFF"/>
        </w:rPr>
        <w:t>附件</w:t>
      </w:r>
      <w:r>
        <w:rPr>
          <w:rFonts w:ascii="仿宋_GB2312" w:hAnsi="方正小标宋简体" w:eastAsia="仿宋_GB2312" w:cs="方正小标宋简体"/>
          <w:b w:val="0"/>
          <w:color w:val="333333"/>
          <w:shd w:val="clear" w:color="auto" w:fill="FFFFFF"/>
        </w:rPr>
        <w:t>2</w:t>
      </w:r>
    </w:p>
    <w:p>
      <w:pPr>
        <w:pStyle w:val="2"/>
        <w:spacing w:before="0" w:beforeAutospacing="0" w:after="0" w:afterAutospacing="0" w:line="460" w:lineRule="exact"/>
        <w:jc w:val="center"/>
        <w:rPr>
          <w:rFonts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</w:pPr>
    </w:p>
    <w:p>
      <w:pPr>
        <w:pStyle w:val="2"/>
        <w:spacing w:before="0" w:beforeAutospacing="0" w:after="0" w:afterAutospacing="0" w:line="460" w:lineRule="exact"/>
        <w:jc w:val="center"/>
        <w:rPr>
          <w:rFonts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  <w:t>年潍坊市经济技术合作中心（市会展服务中心、市电子商务发展服务中心）</w:t>
      </w:r>
    </w:p>
    <w:p>
      <w:pPr>
        <w:pStyle w:val="2"/>
        <w:spacing w:before="0" w:beforeAutospacing="0" w:after="0" w:afterAutospacing="0" w:line="460" w:lineRule="exact"/>
        <w:jc w:val="center"/>
        <w:rPr>
          <w:rFonts w:ascii="方正小标宋简体" w:hAnsi="方正小标宋简体" w:eastAsia="方正小标宋简体" w:cs="方正小标宋简体"/>
          <w:b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  <w:t>公开招聘面试考生疫情防控告知书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年潍坊市经济技术合作中心（市会展服务中心、市电子商务发展服务中心）公开招聘面试疫情防控有关要求和注意事项告知如下，请所有考生知悉并严格执行考试各项防疫措施和要求。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一、面试当天有关要求</w:t>
      </w:r>
    </w:p>
    <w:p>
      <w:pPr>
        <w:pStyle w:val="7"/>
        <w:widowControl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（一）考生经现场检测体温正常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未超过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℃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，携带准考证、有效居民身份证、符合规定要求和数量的核酸检测阴性证明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纸质版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，扫描考点场所码，出示山东省电子健康通行码绿码、通信大数据行程卡绿卡，方可参加考试。未携带的不得入场。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核酸检测阴性证明纸质版可以是检测报告原件、复印件或“山东省电子健康通行码”显示个人信息完整的核酸检测结果截图打印。该证明须在进入考场时提交给监考人员。不能按要求提供规定的核酸检测阴性证明的，不得参加考试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考生参加考试时应自备一次性使用医用口罩或医用外科口罩。除接受身份核验时或在面试室答题时，按要求摘下口罩外，进出考点以及在封闭管理期间应全程佩戴口罩。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二、考前防疫管理要求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天内无省外旅居史的考生，须持考前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小时内核酸检测阴性证明参加考试。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省外入鲁返鲁参加考试的考生，应提前向招聘单位和面试所在地社区报备，在按照社区要求落实好各项疫情防控措施基础上再按要求参加考试，并于途中注意做好个人防护：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省外低风险地区入鲁返鲁参加考试的考生，须提供启程前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小时内核酸检测阴性证明和入鲁后考前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小时内核酸检测阴性证明，或者提供入鲁后考前间隔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小时以上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次核酸检测阴性证明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其中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次为考前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小时内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，方可参加考试。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来自中、高风险地区的考生，按要求完成居家医学观察或集中隔离医学观察等措施后，持考前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小时内核酸检测阴性证明参加考试。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对尚未公布中高风险区但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天内发生社会面疫情的地区，参照中风险区执行。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天有发热、咳嗽等症状的，须提供医疗机构出具的诊断证明和考前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小时内的核酸检测阴性证明，并在隔离考场考试。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四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治愈出院满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天的确诊病例和无症状感染者，应持考前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天内的健康体检报告，体检正常、肺部影像学显示肺部病灶完全吸收、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次间隔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小时核酸检测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其中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次为考前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小时，痰或鼻咽拭子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均为阴性的，可以在隔离考场参加考试。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五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存在以下情形的考生，不得参加面试：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确诊病例、疑似病例、无症状感染者和尚在隔离观察期的密切接触者、次密接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;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考前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天内有发热、咳嗽等症状未痊愈且未排除传染病及身体不适者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;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不能按要求提供核酸检测阴性证明等健康证明的。</w:t>
      </w:r>
    </w:p>
    <w:p>
      <w:pPr>
        <w:pStyle w:val="7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</w:t>
      </w:r>
      <w:bookmarkStart w:id="0" w:name="_GoBack"/>
      <w:bookmarkEnd w:id="0"/>
    </w:p>
    <w:p>
      <w:pPr>
        <w:ind w:left="1920" w:hanging="1920" w:hangingChars="60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3D2"/>
    <w:rsid w:val="000254E3"/>
    <w:rsid w:val="000318DC"/>
    <w:rsid w:val="00062D8D"/>
    <w:rsid w:val="000F356E"/>
    <w:rsid w:val="001143D0"/>
    <w:rsid w:val="001562B9"/>
    <w:rsid w:val="001865EE"/>
    <w:rsid w:val="001A38F8"/>
    <w:rsid w:val="001C639D"/>
    <w:rsid w:val="002B443F"/>
    <w:rsid w:val="003E658F"/>
    <w:rsid w:val="00401754"/>
    <w:rsid w:val="00402E62"/>
    <w:rsid w:val="005912E7"/>
    <w:rsid w:val="005F61A7"/>
    <w:rsid w:val="006921F0"/>
    <w:rsid w:val="006F4038"/>
    <w:rsid w:val="00736BDD"/>
    <w:rsid w:val="007F243A"/>
    <w:rsid w:val="008473D2"/>
    <w:rsid w:val="00886E10"/>
    <w:rsid w:val="008B108D"/>
    <w:rsid w:val="008F0D26"/>
    <w:rsid w:val="00904D25"/>
    <w:rsid w:val="00951CC7"/>
    <w:rsid w:val="009B0D74"/>
    <w:rsid w:val="009D4B1A"/>
    <w:rsid w:val="00A14853"/>
    <w:rsid w:val="00A21ADC"/>
    <w:rsid w:val="00A30D94"/>
    <w:rsid w:val="00A97760"/>
    <w:rsid w:val="00A97B8D"/>
    <w:rsid w:val="00B873AF"/>
    <w:rsid w:val="00B93EC1"/>
    <w:rsid w:val="00C242D3"/>
    <w:rsid w:val="00CE1D54"/>
    <w:rsid w:val="00D60C8E"/>
    <w:rsid w:val="00D85AEF"/>
    <w:rsid w:val="00D863D1"/>
    <w:rsid w:val="00DF33EA"/>
    <w:rsid w:val="00E538E4"/>
    <w:rsid w:val="00ED6833"/>
    <w:rsid w:val="00EF5402"/>
    <w:rsid w:val="00F63CE2"/>
    <w:rsid w:val="016B22A3"/>
    <w:rsid w:val="01BD7509"/>
    <w:rsid w:val="02DE4F17"/>
    <w:rsid w:val="032914DB"/>
    <w:rsid w:val="038F6813"/>
    <w:rsid w:val="03C148B1"/>
    <w:rsid w:val="03E55D42"/>
    <w:rsid w:val="0453425B"/>
    <w:rsid w:val="05A65B7F"/>
    <w:rsid w:val="05B20EA2"/>
    <w:rsid w:val="06012656"/>
    <w:rsid w:val="06A92309"/>
    <w:rsid w:val="06DD1BEF"/>
    <w:rsid w:val="07222068"/>
    <w:rsid w:val="077A3A62"/>
    <w:rsid w:val="086117A4"/>
    <w:rsid w:val="08BE1C73"/>
    <w:rsid w:val="08C51A94"/>
    <w:rsid w:val="09C248DB"/>
    <w:rsid w:val="09D44807"/>
    <w:rsid w:val="0A6119A8"/>
    <w:rsid w:val="0BF95BC3"/>
    <w:rsid w:val="0C022752"/>
    <w:rsid w:val="0C5D6AA6"/>
    <w:rsid w:val="0CE33FE0"/>
    <w:rsid w:val="0D361C41"/>
    <w:rsid w:val="0E757C18"/>
    <w:rsid w:val="0F36574A"/>
    <w:rsid w:val="10584BD5"/>
    <w:rsid w:val="111837D0"/>
    <w:rsid w:val="11890AFA"/>
    <w:rsid w:val="12324945"/>
    <w:rsid w:val="124206DD"/>
    <w:rsid w:val="14D45A25"/>
    <w:rsid w:val="17601AA7"/>
    <w:rsid w:val="187C689A"/>
    <w:rsid w:val="1A643832"/>
    <w:rsid w:val="1AAC7624"/>
    <w:rsid w:val="1AD87FE7"/>
    <w:rsid w:val="1C6B7974"/>
    <w:rsid w:val="1D2E6D78"/>
    <w:rsid w:val="1DD2108D"/>
    <w:rsid w:val="1E2E3DC6"/>
    <w:rsid w:val="20A22A84"/>
    <w:rsid w:val="2179360D"/>
    <w:rsid w:val="22347DE8"/>
    <w:rsid w:val="235A7529"/>
    <w:rsid w:val="25BF7E35"/>
    <w:rsid w:val="26F87ED8"/>
    <w:rsid w:val="27E22F8D"/>
    <w:rsid w:val="286A21EB"/>
    <w:rsid w:val="295224A4"/>
    <w:rsid w:val="2A220141"/>
    <w:rsid w:val="2A5358E8"/>
    <w:rsid w:val="2B1166B2"/>
    <w:rsid w:val="2B665CC8"/>
    <w:rsid w:val="2DA91CD4"/>
    <w:rsid w:val="30240EF0"/>
    <w:rsid w:val="307707F7"/>
    <w:rsid w:val="310C3DDB"/>
    <w:rsid w:val="31997260"/>
    <w:rsid w:val="325A4957"/>
    <w:rsid w:val="32D81746"/>
    <w:rsid w:val="340C3241"/>
    <w:rsid w:val="34936470"/>
    <w:rsid w:val="34F367B7"/>
    <w:rsid w:val="36D7366B"/>
    <w:rsid w:val="371D5154"/>
    <w:rsid w:val="372E5AD6"/>
    <w:rsid w:val="394D2937"/>
    <w:rsid w:val="39EA279D"/>
    <w:rsid w:val="3AF47854"/>
    <w:rsid w:val="3B8E0136"/>
    <w:rsid w:val="3D0A5942"/>
    <w:rsid w:val="3E250A8D"/>
    <w:rsid w:val="3EB92848"/>
    <w:rsid w:val="3F7E2C05"/>
    <w:rsid w:val="404E50F3"/>
    <w:rsid w:val="40D93660"/>
    <w:rsid w:val="41714C2F"/>
    <w:rsid w:val="41B870CA"/>
    <w:rsid w:val="42784296"/>
    <w:rsid w:val="43572F5A"/>
    <w:rsid w:val="43E2136B"/>
    <w:rsid w:val="45281DD6"/>
    <w:rsid w:val="46601E44"/>
    <w:rsid w:val="46726B60"/>
    <w:rsid w:val="469657E3"/>
    <w:rsid w:val="469E1573"/>
    <w:rsid w:val="473C45DE"/>
    <w:rsid w:val="478C78A9"/>
    <w:rsid w:val="48236210"/>
    <w:rsid w:val="4A8F44F1"/>
    <w:rsid w:val="4D052E4D"/>
    <w:rsid w:val="4E130B58"/>
    <w:rsid w:val="4E4B4585"/>
    <w:rsid w:val="4E597D5D"/>
    <w:rsid w:val="505F105A"/>
    <w:rsid w:val="50904DE3"/>
    <w:rsid w:val="52960DD1"/>
    <w:rsid w:val="53E33CF7"/>
    <w:rsid w:val="54A4212D"/>
    <w:rsid w:val="55101FB1"/>
    <w:rsid w:val="554040AD"/>
    <w:rsid w:val="55B04CDD"/>
    <w:rsid w:val="56471F6D"/>
    <w:rsid w:val="56E43A1A"/>
    <w:rsid w:val="570C7152"/>
    <w:rsid w:val="571C19E3"/>
    <w:rsid w:val="57452411"/>
    <w:rsid w:val="57F77C8E"/>
    <w:rsid w:val="59A442CD"/>
    <w:rsid w:val="5DD44D89"/>
    <w:rsid w:val="5F9A4B20"/>
    <w:rsid w:val="618579D0"/>
    <w:rsid w:val="628C262C"/>
    <w:rsid w:val="62B9376B"/>
    <w:rsid w:val="635409A1"/>
    <w:rsid w:val="635B7E58"/>
    <w:rsid w:val="65630863"/>
    <w:rsid w:val="65820906"/>
    <w:rsid w:val="65D907FC"/>
    <w:rsid w:val="6678739B"/>
    <w:rsid w:val="669C1FC2"/>
    <w:rsid w:val="676D5655"/>
    <w:rsid w:val="67E93FC4"/>
    <w:rsid w:val="6AFC71C6"/>
    <w:rsid w:val="6D7F3352"/>
    <w:rsid w:val="6DDF57E3"/>
    <w:rsid w:val="6EB04080"/>
    <w:rsid w:val="70505E42"/>
    <w:rsid w:val="72813B84"/>
    <w:rsid w:val="72CC3298"/>
    <w:rsid w:val="73B55A03"/>
    <w:rsid w:val="751D1865"/>
    <w:rsid w:val="775B7FBB"/>
    <w:rsid w:val="789F4ACB"/>
    <w:rsid w:val="78C85790"/>
    <w:rsid w:val="7920301C"/>
    <w:rsid w:val="79D54D99"/>
    <w:rsid w:val="7A341EC5"/>
    <w:rsid w:val="7A352A49"/>
    <w:rsid w:val="7A49178E"/>
    <w:rsid w:val="7BE122B2"/>
    <w:rsid w:val="7C710EE9"/>
    <w:rsid w:val="7C976B7D"/>
    <w:rsid w:val="7DB60352"/>
    <w:rsid w:val="7E8E694D"/>
    <w:rsid w:val="7E9213C2"/>
    <w:rsid w:val="7F033EFB"/>
    <w:rsid w:val="7F1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0" w:semiHidden="0" w:name="Body Text" w:locked="1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semiHidden/>
    <w:uiPriority w:val="99"/>
    <w:rPr>
      <w:rFonts w:cs="Times New Roman"/>
      <w:color w:val="0000FF"/>
      <w:u w:val="single"/>
    </w:rPr>
  </w:style>
  <w:style w:type="character" w:customStyle="1" w:styleId="13">
    <w:name w:val="Heading 2 Char"/>
    <w:basedOn w:val="9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Heading 3 Char"/>
    <w:basedOn w:val="9"/>
    <w:link w:val="3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5">
    <w:name w:val="Body Text Indent Char"/>
    <w:basedOn w:val="9"/>
    <w:link w:val="4"/>
    <w:semiHidden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Header Char"/>
    <w:basedOn w:val="9"/>
    <w:link w:val="6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ooter Char"/>
    <w:basedOn w:val="9"/>
    <w:link w:val="5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425</Words>
  <Characters>2429</Characters>
  <Lines>0</Lines>
  <Paragraphs>0</Paragraphs>
  <TotalTime>31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2021-07-01T02:31:00Z</dcterms:created>
  <dc:creator>xb21cn</dc:creator>
  <cp:lastModifiedBy>Acer</cp:lastModifiedBy>
  <cp:lastPrinted>2021-10-12T06:37:00Z</cp:lastPrinted>
  <dcterms:modified xsi:type="dcterms:W3CDTF">2022-07-11T09:08:44Z</dcterms:modified>
  <dc:title>2021年事业单位初级综合类岗位公开招聘面试通知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