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both"/>
        <w:textAlignment w:val="auto"/>
        <w:outlineLvl w:val="9"/>
        <w:rPr>
          <w:rStyle w:val="4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Style w:val="4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Style w:val="4"/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宜昌市市直事业单位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高层次人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才二次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引进报名表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3"/>
        <w:tblW w:w="94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月毕业于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非全日制教育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月毕业于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9491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3618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color w:val="auto"/>
                <w:sz w:val="24"/>
                <w:szCs w:val="30"/>
                <w:highlight w:val="none"/>
                <w:lang w:eastAsia="zh-CN"/>
              </w:rPr>
              <w:t>国有企事业单位或非公组织工作经历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历（含学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）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姓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招考单位审查意见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主管部门审查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“单位性质”分“国有企业、事业单位、非公组织”。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A4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C4570"/>
    <w:rsid w:val="068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2022-07-11T10:58:00Z</dcterms:created>
  <dc:creator>NTKO</dc:creator>
  <cp:lastModifiedBy>NTKO</cp:lastModifiedBy>
  <dcterms:modified xsi:type="dcterms:W3CDTF">2022-07-11T11:00:06Z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