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600" w:lineRule="exact"/>
        <w:jc w:val="center"/>
        <w:rPr>
          <w:rStyle w:val="4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  <w:bookmarkStart w:id="0" w:name="_GoBack"/>
      <w:r>
        <w:rPr>
          <w:rStyle w:val="4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shd w:val="clear" w:color="auto" w:fill="FFFFFF"/>
          <w:lang w:val="en-US" w:eastAsia="zh-CN"/>
        </w:rPr>
        <w:t>2022年济宁市产业技术研究院青年优秀人才引进岗位汇总表</w:t>
      </w:r>
    </w:p>
    <w:bookmarkEnd w:id="0"/>
    <w:p>
      <w:pPr>
        <w:adjustRightInd w:val="0"/>
        <w:snapToGrid w:val="0"/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</w:p>
    <w:tbl>
      <w:tblPr>
        <w:tblStyle w:val="6"/>
        <w:tblW w:w="13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692"/>
        <w:gridCol w:w="1373"/>
        <w:gridCol w:w="934"/>
        <w:gridCol w:w="3023"/>
        <w:gridCol w:w="3432"/>
        <w:gridCol w:w="182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引才部门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履职要求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科技合作部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科技合作主管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1.梳理济宁市产业技术需求，开展本地产业发展调研分析；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2.对接高校、科研院所，促成高校院所的科技创新成果在本地转移转化，服务产业升级发展。</w:t>
            </w:r>
          </w:p>
        </w:tc>
        <w:tc>
          <w:tcPr>
            <w:tcW w:w="343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1.高度的责任心，较强的创新意识和服务意识，较强的开拓能力、组织协调沟通能力；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2.能吃苦耐劳，适应经常出差、高强度的工作节奏；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3.专业要求为理科、工科类。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0537-3379278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color w:val="000000" w:themeColor="text1"/>
                <w:sz w:val="56"/>
                <w:szCs w:val="56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7681B"/>
    <w:rsid w:val="04A768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51"/>
    <w:basedOn w:val="3"/>
    <w:qFormat/>
    <w:uiPriority w:val="0"/>
    <w:rPr>
      <w:rFonts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2022-07-07T02:15:00Z</dcterms:created>
  <dc:creator>huawei</dc:creator>
  <cp:lastModifiedBy>huawei</cp:lastModifiedBy>
  <dcterms:modified xsi:type="dcterms:W3CDTF">2022-07-07T02:17:01Z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