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吕梁市文联2022年度事业单位</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招才引智资格复审公告</w:t>
      </w:r>
    </w:p>
    <w:p>
      <w:pPr>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9"/>
        <w:rPr>
          <w:rFonts w:hint="eastAsia" w:ascii="仿宋_GB2312" w:hAnsi="仿宋" w:eastAsia="仿宋_GB2312"/>
          <w:color w:val="auto"/>
          <w:sz w:val="32"/>
          <w:szCs w:val="32"/>
        </w:rPr>
      </w:pPr>
      <w:r>
        <w:rPr>
          <w:rFonts w:hint="eastAsia" w:ascii="仿宋_GB2312" w:hAnsi="仿宋" w:eastAsia="仿宋_GB2312"/>
          <w:color w:val="auto"/>
          <w:sz w:val="32"/>
          <w:szCs w:val="32"/>
        </w:rPr>
        <w:t>根据《吕梁市文联2022年度事业单位招才引智实施方案》</w:t>
      </w:r>
      <w:r>
        <w:rPr>
          <w:rFonts w:hint="eastAsia" w:ascii="仿宋_GB2312" w:hAnsi="仿宋" w:eastAsia="仿宋_GB2312"/>
          <w:color w:val="auto"/>
          <w:sz w:val="32"/>
          <w:szCs w:val="32"/>
          <w:lang w:val="en-US" w:eastAsia="zh-CN"/>
        </w:rPr>
        <w:t>中</w:t>
      </w:r>
      <w:r>
        <w:rPr>
          <w:rFonts w:hint="eastAsia" w:ascii="仿宋_GB2312" w:hAnsi="仿宋" w:eastAsia="仿宋_GB2312"/>
          <w:color w:val="auto"/>
          <w:sz w:val="32"/>
          <w:szCs w:val="32"/>
        </w:rPr>
        <w:t>关于资格复审工作的相关规定，经</w:t>
      </w:r>
      <w:r>
        <w:rPr>
          <w:rFonts w:hint="eastAsia" w:ascii="仿宋_GB2312" w:hAnsi="仿宋" w:eastAsia="仿宋_GB2312"/>
          <w:color w:val="auto"/>
          <w:sz w:val="32"/>
          <w:szCs w:val="32"/>
          <w:lang w:val="en-US" w:eastAsia="zh-CN"/>
        </w:rPr>
        <w:t>吕梁市文联招才引智工作领导组</w:t>
      </w:r>
      <w:r>
        <w:rPr>
          <w:rFonts w:hint="eastAsia" w:ascii="仿宋_GB2312" w:hAnsi="仿宋" w:eastAsia="仿宋_GB2312"/>
          <w:color w:val="auto"/>
          <w:sz w:val="32"/>
          <w:szCs w:val="32"/>
        </w:rPr>
        <w:t>研究，现将</w:t>
      </w:r>
      <w:r>
        <w:rPr>
          <w:rFonts w:hint="eastAsia" w:ascii="仿宋_GB2312" w:hAnsi="仿宋" w:eastAsia="仿宋_GB2312"/>
          <w:color w:val="auto"/>
          <w:sz w:val="32"/>
          <w:szCs w:val="32"/>
          <w:lang w:val="en-US" w:eastAsia="zh-CN"/>
        </w:rPr>
        <w:t>吕梁市文联招</w:t>
      </w:r>
      <w:r>
        <w:rPr>
          <w:rFonts w:hint="eastAsia" w:ascii="仿宋_GB2312" w:hAnsi="Arial" w:eastAsia="仿宋_GB2312" w:cs="Arial"/>
          <w:color w:val="000000"/>
          <w:kern w:val="0"/>
          <w:sz w:val="32"/>
          <w:szCs w:val="32"/>
        </w:rPr>
        <w:t>才引智</w:t>
      </w:r>
      <w:r>
        <w:rPr>
          <w:rFonts w:hint="eastAsia" w:ascii="仿宋_GB2312" w:hAnsi="Arial" w:eastAsia="仿宋_GB2312" w:cs="Arial"/>
          <w:color w:val="000000"/>
          <w:kern w:val="0"/>
          <w:sz w:val="32"/>
          <w:szCs w:val="32"/>
          <w:lang w:val="en-US" w:eastAsia="zh-CN"/>
        </w:rPr>
        <w:t>岗位</w:t>
      </w:r>
      <w:r>
        <w:rPr>
          <w:rFonts w:hint="eastAsia" w:ascii="仿宋_GB2312" w:hAnsi="Arial" w:eastAsia="仿宋_GB2312" w:cs="Arial"/>
          <w:color w:val="000000"/>
          <w:kern w:val="0"/>
          <w:sz w:val="32"/>
          <w:szCs w:val="32"/>
        </w:rPr>
        <w:t>考生资格复审</w:t>
      </w:r>
      <w:r>
        <w:rPr>
          <w:rFonts w:hint="eastAsia" w:ascii="仿宋_GB2312" w:hAnsi="Arial" w:eastAsia="仿宋_GB2312" w:cs="Arial"/>
          <w:color w:val="000000"/>
          <w:kern w:val="0"/>
          <w:sz w:val="32"/>
          <w:szCs w:val="32"/>
          <w:lang w:eastAsia="zh-CN"/>
        </w:rPr>
        <w:t>公告如下</w:t>
      </w:r>
      <w:r>
        <w:rPr>
          <w:rFonts w:hint="eastAsia" w:ascii="仿宋_GB2312" w:hAnsi="仿宋"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一、资格复审对象</w:t>
      </w:r>
      <w:r>
        <w:rPr>
          <w:rFonts w:hint="eastAsia" w:ascii="黑体" w:hAnsi="黑体" w:eastAsia="黑体" w:cs="黑体"/>
          <w:color w:val="000000"/>
          <w:sz w:val="32"/>
          <w:szCs w:val="32"/>
          <w:lang w:val="en-US" w:eastAsia="zh-CN"/>
        </w:rPr>
        <w:t>确定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9"/>
        <w:rPr>
          <w:rFonts w:hint="eastAsia" w:ascii="仿宋_GB2312" w:hAnsi="仿宋" w:eastAsia="仿宋_GB2312"/>
          <w:color w:val="auto"/>
          <w:sz w:val="32"/>
          <w:szCs w:val="32"/>
        </w:rPr>
      </w:pPr>
      <w:r>
        <w:rPr>
          <w:rFonts w:hint="eastAsia" w:ascii="仿宋_GB2312" w:hAnsi="仿宋" w:eastAsia="仿宋_GB2312"/>
          <w:color w:val="000000"/>
          <w:sz w:val="32"/>
          <w:szCs w:val="32"/>
        </w:rPr>
        <w:t>资格复审由</w:t>
      </w:r>
      <w:r>
        <w:rPr>
          <w:rFonts w:hint="eastAsia" w:ascii="仿宋_GB2312" w:hAnsi="仿宋" w:eastAsia="仿宋_GB2312"/>
          <w:color w:val="auto"/>
          <w:sz w:val="32"/>
          <w:szCs w:val="32"/>
          <w:lang w:val="en-US" w:eastAsia="zh-CN"/>
        </w:rPr>
        <w:t>吕梁市文联招才引智工作领导组组织实施</w:t>
      </w:r>
      <w:r>
        <w:rPr>
          <w:rFonts w:hint="eastAsia" w:ascii="仿宋_GB2312" w:hAnsi="仿宋"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9"/>
        <w:rPr>
          <w:rFonts w:hint="eastAsia" w:ascii="仿宋_GB2312" w:eastAsia="仿宋_GB2312"/>
          <w:b w:val="0"/>
          <w:bCs w:val="0"/>
          <w:sz w:val="32"/>
          <w:szCs w:val="30"/>
          <w:lang w:val="en-US" w:eastAsia="zh-CN"/>
        </w:rPr>
      </w:pPr>
      <w:r>
        <w:rPr>
          <w:rFonts w:hint="eastAsia" w:ascii="仿宋_GB2312" w:eastAsia="仿宋_GB2312"/>
          <w:b w:val="0"/>
          <w:bCs w:val="0"/>
          <w:sz w:val="32"/>
          <w:szCs w:val="30"/>
          <w:lang w:val="en-US" w:eastAsia="zh-CN"/>
        </w:rPr>
        <w:t>岗位报名人数与招聘人数比例大于或等于5：1岗位，从笔试成绩达到60分及以上的考生中，依据笔试成绩从高分到低分的顺序，按计划招聘人数3倍的比例确定参加面试资格复审的人选，末位成绩并列的人员一并进入资格复审，人数未达3:1的按实有人数确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3" w:firstLineChars="200"/>
        <w:jc w:val="both"/>
        <w:textAlignment w:val="auto"/>
        <w:outlineLvl w:val="9"/>
        <w:rPr>
          <w:rFonts w:hint="eastAsia" w:ascii="仿宋_GB2312" w:eastAsia="仿宋_GB2312"/>
          <w:b/>
          <w:bCs/>
          <w:sz w:val="32"/>
          <w:szCs w:val="30"/>
          <w:lang w:val="en-US" w:eastAsia="zh-CN"/>
        </w:rPr>
      </w:pPr>
      <w:r>
        <w:rPr>
          <w:rFonts w:hint="eastAsia" w:ascii="仿宋_GB2312" w:eastAsia="仿宋_GB2312"/>
          <w:b/>
          <w:bCs/>
          <w:sz w:val="32"/>
          <w:szCs w:val="30"/>
          <w:lang w:val="en-US" w:eastAsia="zh-CN"/>
        </w:rPr>
        <w:t>取得资格复审的人员确认放弃资格复审或资格复审不合格形成的缺额，在资格复审结束后，依据同一岗位笔试成绩从高分到低分的顺序，等额依次递补资格复审人选。递补时，出现笔试成绩并列的，并列者同时确定为资格复审人员。递补只进行一次（</w:t>
      </w:r>
      <w:r>
        <w:rPr>
          <w:rFonts w:hint="eastAsia" w:ascii="仿宋_GB2312" w:hAnsi="Arial" w:eastAsia="仿宋_GB2312" w:cs="Arial"/>
          <w:b/>
          <w:bCs/>
          <w:color w:val="000000"/>
          <w:kern w:val="0"/>
          <w:sz w:val="32"/>
          <w:szCs w:val="32"/>
          <w:lang w:val="en-US" w:eastAsia="zh-CN"/>
        </w:rPr>
        <w:t>具体岗位及人员名单见下</w:t>
      </w:r>
      <w:r>
        <w:rPr>
          <w:rFonts w:hint="eastAsia" w:ascii="仿宋_GB2312" w:eastAsia="仿宋_GB2312"/>
          <w:b/>
          <w:bCs/>
          <w:sz w:val="32"/>
          <w:szCs w:val="30"/>
          <w:lang w:val="en-US" w:eastAsia="zh-CN"/>
        </w:rPr>
        <w:t>）。</w:t>
      </w:r>
    </w:p>
    <w:p>
      <w:pPr>
        <w:pStyle w:val="2"/>
        <w:rPr>
          <w:rFonts w:hint="eastAsia" w:ascii="仿宋_GB2312" w:eastAsia="仿宋_GB2312"/>
          <w:b/>
          <w:bCs/>
          <w:sz w:val="32"/>
          <w:szCs w:val="30"/>
          <w:lang w:val="en-US" w:eastAsia="zh-CN"/>
        </w:rPr>
      </w:pPr>
    </w:p>
    <w:p>
      <w:pPr>
        <w:rPr>
          <w:rFonts w:hint="eastAsia"/>
          <w:lang w:val="en-US" w:eastAsia="zh-CN"/>
        </w:rPr>
      </w:pPr>
    </w:p>
    <w:tbl>
      <w:tblPr>
        <w:tblStyle w:val="5"/>
        <w:tblW w:w="870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920"/>
        <w:gridCol w:w="786"/>
        <w:gridCol w:w="958"/>
        <w:gridCol w:w="1349"/>
        <w:gridCol w:w="788"/>
        <w:gridCol w:w="929"/>
        <w:gridCol w:w="92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112"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招聘部门</w:t>
            </w:r>
          </w:p>
        </w:tc>
        <w:tc>
          <w:tcPr>
            <w:tcW w:w="920"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招聘</w:t>
            </w:r>
          </w:p>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单位</w:t>
            </w:r>
          </w:p>
        </w:tc>
        <w:tc>
          <w:tcPr>
            <w:tcW w:w="786"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岗位</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招聘人数</w:t>
            </w:r>
          </w:p>
        </w:tc>
        <w:tc>
          <w:tcPr>
            <w:tcW w:w="1349"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姓名</w:t>
            </w:r>
          </w:p>
        </w:tc>
        <w:tc>
          <w:tcPr>
            <w:tcW w:w="788"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性别</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报名号</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宋体" w:hAnsi="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笔试</w:t>
            </w:r>
          </w:p>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成绩</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宋体" w:hAnsi="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12" w:type="dxa"/>
            <w:vMerge w:val="restart"/>
          </w:tcPr>
          <w:p>
            <w:pPr>
              <w:bidi w:val="0"/>
              <w:rPr>
                <w:rFonts w:hint="eastAsia" w:ascii="仿宋_GB2312" w:hAnsi="仿宋_GB2312" w:eastAsia="仿宋_GB2312" w:cs="仿宋_GB2312"/>
                <w:sz w:val="22"/>
                <w:szCs w:val="28"/>
                <w:lang w:val="en-US" w:eastAsia="zh-CN"/>
              </w:rPr>
            </w:pPr>
          </w:p>
          <w:p>
            <w:pPr>
              <w:bidi w:val="0"/>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吕梁市文联</w:t>
            </w:r>
          </w:p>
        </w:tc>
        <w:tc>
          <w:tcPr>
            <w:tcW w:w="920" w:type="dxa"/>
            <w:vMerge w:val="restart"/>
          </w:tcPr>
          <w:p>
            <w:pPr>
              <w:bidi w:val="0"/>
              <w:rPr>
                <w:rFonts w:hint="eastAsia" w:ascii="仿宋_GB2312" w:hAnsi="仿宋_GB2312" w:eastAsia="仿宋_GB2312" w:cs="仿宋_GB2312"/>
                <w:sz w:val="22"/>
                <w:szCs w:val="28"/>
                <w:lang w:val="en-US" w:eastAsia="zh-CN"/>
              </w:rPr>
            </w:pPr>
          </w:p>
          <w:p>
            <w:pPr>
              <w:bidi w:val="0"/>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市文学院</w:t>
            </w:r>
          </w:p>
        </w:tc>
        <w:tc>
          <w:tcPr>
            <w:tcW w:w="786" w:type="dxa"/>
            <w:vMerge w:val="restart"/>
            <w:vAlign w:val="center"/>
          </w:tcPr>
          <w:p>
            <w:pPr>
              <w:pStyle w:val="2"/>
              <w:ind w:left="0" w:leftChars="0" w:firstLine="0" w:firstLineChars="0"/>
              <w:jc w:val="both"/>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专业技术岗</w:t>
            </w:r>
            <w:r>
              <w:rPr>
                <w:rFonts w:hint="eastAsia" w:ascii="仿宋_GB2312" w:hAnsi="仿宋_GB2312" w:eastAsia="仿宋_GB2312" w:cs="仿宋_GB2312"/>
                <w:i w:val="0"/>
                <w:iCs w:val="0"/>
                <w:color w:val="000000"/>
                <w:sz w:val="22"/>
                <w:szCs w:val="22"/>
                <w:u w:val="none"/>
                <w:lang w:val="en-US" w:eastAsia="zh-CN"/>
              </w:rPr>
              <w:t xml:space="preserve"> </w:t>
            </w:r>
            <w:r>
              <w:rPr>
                <w:rFonts w:hint="eastAsia" w:ascii="仿宋_GB2312" w:hAnsi="仿宋_GB2312" w:eastAsia="仿宋_GB2312" w:cs="仿宋_GB2312"/>
                <w:i w:val="0"/>
                <w:iCs w:val="0"/>
                <w:color w:val="000000"/>
                <w:sz w:val="22"/>
                <w:szCs w:val="22"/>
                <w:u w:val="none"/>
              </w:rPr>
              <w:t>位</w:t>
            </w:r>
          </w:p>
        </w:tc>
        <w:tc>
          <w:tcPr>
            <w:tcW w:w="958" w:type="dxa"/>
            <w:vMerge w:val="restart"/>
          </w:tcPr>
          <w:p>
            <w:pPr>
              <w:pStyle w:val="2"/>
              <w:ind w:left="0" w:leftChars="0" w:firstLine="0" w:firstLineChars="0"/>
              <w:rPr>
                <w:rFonts w:hint="eastAsia"/>
                <w:lang w:val="en-US" w:eastAsia="zh-CN"/>
              </w:rPr>
            </w:pPr>
          </w:p>
          <w:p>
            <w:pPr>
              <w:bidi w:val="0"/>
              <w:ind w:firstLine="220" w:firstLineChars="100"/>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1人</w:t>
            </w:r>
          </w:p>
        </w:tc>
        <w:tc>
          <w:tcPr>
            <w:tcW w:w="1349"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lang w:val="en-US" w:eastAsia="zh-CN"/>
              </w:rPr>
              <w:t>李家琪</w:t>
            </w:r>
          </w:p>
        </w:tc>
        <w:tc>
          <w:tcPr>
            <w:tcW w:w="788"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女</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00</w:t>
            </w:r>
            <w:r>
              <w:rPr>
                <w:rFonts w:hint="eastAsia" w:ascii="仿宋_GB2312" w:hAnsi="仿宋_GB2312" w:eastAsia="仿宋_GB2312" w:cs="仿宋_GB2312"/>
                <w:i w:val="0"/>
                <w:iCs w:val="0"/>
                <w:color w:val="000000"/>
                <w:sz w:val="22"/>
                <w:szCs w:val="22"/>
                <w:u w:val="none"/>
                <w:lang w:val="en-US" w:eastAsia="zh-CN"/>
              </w:rPr>
              <w:t>0060</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78.9</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12" w:type="dxa"/>
            <w:vMerge w:val="continue"/>
          </w:tcPr>
          <w:p>
            <w:pPr>
              <w:pStyle w:val="2"/>
              <w:rPr>
                <w:rFonts w:hint="eastAsia" w:ascii="仿宋_GB2312" w:eastAsia="仿宋_GB2312"/>
                <w:b w:val="0"/>
                <w:bCs w:val="0"/>
                <w:sz w:val="28"/>
                <w:szCs w:val="28"/>
                <w:vertAlign w:val="baseline"/>
                <w:lang w:val="en-US" w:eastAsia="zh-CN"/>
              </w:rPr>
            </w:pPr>
          </w:p>
        </w:tc>
        <w:tc>
          <w:tcPr>
            <w:tcW w:w="920" w:type="dxa"/>
            <w:vMerge w:val="continue"/>
          </w:tcPr>
          <w:p>
            <w:pPr>
              <w:pStyle w:val="2"/>
              <w:rPr>
                <w:rFonts w:hint="eastAsia" w:ascii="仿宋_GB2312" w:eastAsia="仿宋_GB2312"/>
                <w:b w:val="0"/>
                <w:bCs w:val="0"/>
                <w:sz w:val="28"/>
                <w:szCs w:val="28"/>
                <w:vertAlign w:val="baseline"/>
                <w:lang w:val="en-US" w:eastAsia="zh-CN"/>
              </w:rPr>
            </w:pPr>
          </w:p>
        </w:tc>
        <w:tc>
          <w:tcPr>
            <w:tcW w:w="786" w:type="dxa"/>
            <w:vMerge w:val="continue"/>
          </w:tcPr>
          <w:p>
            <w:pPr>
              <w:pStyle w:val="2"/>
              <w:rPr>
                <w:rFonts w:hint="eastAsia" w:ascii="仿宋_GB2312" w:eastAsia="仿宋_GB2312"/>
                <w:b w:val="0"/>
                <w:bCs w:val="0"/>
                <w:sz w:val="28"/>
                <w:szCs w:val="28"/>
                <w:vertAlign w:val="baseline"/>
                <w:lang w:val="en-US" w:eastAsia="zh-CN"/>
              </w:rPr>
            </w:pPr>
          </w:p>
        </w:tc>
        <w:tc>
          <w:tcPr>
            <w:tcW w:w="958" w:type="dxa"/>
            <w:vMerge w:val="continue"/>
          </w:tcPr>
          <w:p>
            <w:pPr>
              <w:pStyle w:val="2"/>
              <w:rPr>
                <w:rFonts w:hint="eastAsia" w:ascii="仿宋_GB2312" w:eastAsia="仿宋_GB2312"/>
                <w:b w:val="0"/>
                <w:bCs w:val="0"/>
                <w:sz w:val="28"/>
                <w:szCs w:val="28"/>
                <w:vertAlign w:val="baseline"/>
                <w:lang w:val="en-US" w:eastAsia="zh-CN"/>
              </w:rPr>
            </w:pPr>
          </w:p>
        </w:tc>
        <w:tc>
          <w:tcPr>
            <w:tcW w:w="1349"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b w:val="0"/>
                <w:bCs w:val="0"/>
                <w:sz w:val="22"/>
                <w:szCs w:val="22"/>
                <w:vertAlign w:val="baseline"/>
                <w:lang w:val="en-US" w:eastAsia="zh-CN"/>
              </w:rPr>
              <w:t>高旋涵</w:t>
            </w:r>
          </w:p>
        </w:tc>
        <w:tc>
          <w:tcPr>
            <w:tcW w:w="788"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女</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00</w:t>
            </w:r>
            <w:r>
              <w:rPr>
                <w:rFonts w:hint="eastAsia" w:ascii="仿宋_GB2312" w:hAnsi="仿宋_GB2312" w:eastAsia="仿宋_GB2312" w:cs="仿宋_GB2312"/>
                <w:i w:val="0"/>
                <w:iCs w:val="0"/>
                <w:color w:val="000000"/>
                <w:sz w:val="22"/>
                <w:szCs w:val="22"/>
                <w:u w:val="none"/>
                <w:lang w:val="en-US" w:eastAsia="zh-CN"/>
              </w:rPr>
              <w:t>2508</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77.4</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12" w:type="dxa"/>
            <w:vMerge w:val="continue"/>
          </w:tcPr>
          <w:p>
            <w:pPr>
              <w:pStyle w:val="2"/>
              <w:rPr>
                <w:rFonts w:hint="eastAsia" w:ascii="仿宋_GB2312" w:eastAsia="仿宋_GB2312"/>
                <w:b w:val="0"/>
                <w:bCs w:val="0"/>
                <w:sz w:val="28"/>
                <w:szCs w:val="28"/>
                <w:vertAlign w:val="baseline"/>
                <w:lang w:val="en-US" w:eastAsia="zh-CN"/>
              </w:rPr>
            </w:pPr>
          </w:p>
        </w:tc>
        <w:tc>
          <w:tcPr>
            <w:tcW w:w="920" w:type="dxa"/>
            <w:vMerge w:val="continue"/>
          </w:tcPr>
          <w:p>
            <w:pPr>
              <w:pStyle w:val="2"/>
              <w:rPr>
                <w:rFonts w:hint="eastAsia" w:ascii="仿宋_GB2312" w:eastAsia="仿宋_GB2312"/>
                <w:b w:val="0"/>
                <w:bCs w:val="0"/>
                <w:sz w:val="28"/>
                <w:szCs w:val="28"/>
                <w:vertAlign w:val="baseline"/>
                <w:lang w:val="en-US" w:eastAsia="zh-CN"/>
              </w:rPr>
            </w:pPr>
          </w:p>
        </w:tc>
        <w:tc>
          <w:tcPr>
            <w:tcW w:w="786" w:type="dxa"/>
            <w:vMerge w:val="continue"/>
          </w:tcPr>
          <w:p>
            <w:pPr>
              <w:pStyle w:val="2"/>
              <w:rPr>
                <w:rFonts w:hint="eastAsia" w:ascii="仿宋_GB2312" w:eastAsia="仿宋_GB2312"/>
                <w:b w:val="0"/>
                <w:bCs w:val="0"/>
                <w:sz w:val="28"/>
                <w:szCs w:val="28"/>
                <w:vertAlign w:val="baseline"/>
                <w:lang w:val="en-US" w:eastAsia="zh-CN"/>
              </w:rPr>
            </w:pPr>
          </w:p>
        </w:tc>
        <w:tc>
          <w:tcPr>
            <w:tcW w:w="958" w:type="dxa"/>
            <w:vMerge w:val="continue"/>
          </w:tcPr>
          <w:p>
            <w:pPr>
              <w:pStyle w:val="2"/>
              <w:rPr>
                <w:rFonts w:hint="eastAsia" w:ascii="仿宋_GB2312" w:eastAsia="仿宋_GB2312"/>
                <w:b w:val="0"/>
                <w:bCs w:val="0"/>
                <w:sz w:val="28"/>
                <w:szCs w:val="28"/>
                <w:vertAlign w:val="baseline"/>
                <w:lang w:val="en-US" w:eastAsia="zh-CN"/>
              </w:rPr>
            </w:pPr>
          </w:p>
        </w:tc>
        <w:tc>
          <w:tcPr>
            <w:tcW w:w="1349"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b w:val="0"/>
                <w:bCs w:val="0"/>
                <w:sz w:val="22"/>
                <w:szCs w:val="22"/>
                <w:vertAlign w:val="baseline"/>
                <w:lang w:val="en-US" w:eastAsia="zh-CN"/>
              </w:rPr>
              <w:t>梁婷婷</w:t>
            </w:r>
          </w:p>
        </w:tc>
        <w:tc>
          <w:tcPr>
            <w:tcW w:w="788"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女</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00</w:t>
            </w:r>
            <w:r>
              <w:rPr>
                <w:rFonts w:hint="eastAsia" w:ascii="仿宋_GB2312" w:hAnsi="仿宋_GB2312" w:eastAsia="仿宋_GB2312" w:cs="仿宋_GB2312"/>
                <w:i w:val="0"/>
                <w:iCs w:val="0"/>
                <w:color w:val="000000"/>
                <w:sz w:val="22"/>
                <w:szCs w:val="22"/>
                <w:u w:val="none"/>
                <w:lang w:val="en-US" w:eastAsia="zh-CN"/>
              </w:rPr>
              <w:t>0468</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76.1</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3</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50" w:lineRule="exact"/>
        <w:ind w:firstLine="640" w:firstLineChars="200"/>
        <w:jc w:val="left"/>
        <w:textAlignment w:val="auto"/>
        <w:outlineLvl w:val="9"/>
        <w:rPr>
          <w:rFonts w:hint="eastAsia" w:ascii="黑体" w:hAnsi="黑体" w:eastAsia="黑体" w:cs="黑体"/>
          <w:color w:val="auto"/>
          <w:sz w:val="32"/>
          <w:szCs w:val="30"/>
          <w:lang w:val="en-US" w:eastAsia="zh-CN"/>
        </w:rPr>
      </w:pPr>
      <w:r>
        <w:rPr>
          <w:rFonts w:hint="eastAsia" w:ascii="黑体" w:hAnsi="黑体" w:eastAsia="黑体" w:cs="黑体"/>
          <w:sz w:val="32"/>
          <w:szCs w:val="30"/>
          <w:lang w:val="en-US" w:eastAsia="zh-CN"/>
        </w:rPr>
        <w:t>二、资格复审时间、地点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left"/>
        <w:textAlignment w:val="auto"/>
        <w:outlineLvl w:val="9"/>
        <w:rPr>
          <w:rFonts w:hint="eastAsia" w:ascii="黑体" w:hAnsi="黑体" w:eastAsia="黑体" w:cs="黑体"/>
          <w:b/>
          <w:bCs/>
          <w:color w:val="auto"/>
          <w:sz w:val="32"/>
          <w:szCs w:val="30"/>
          <w:lang w:val="en-US" w:eastAsia="zh-CN"/>
        </w:rPr>
      </w:pPr>
      <w:r>
        <w:rPr>
          <w:rFonts w:hint="eastAsia" w:ascii="黑体" w:hAnsi="黑体" w:eastAsia="黑体" w:cs="黑体"/>
          <w:b w:val="0"/>
          <w:bCs w:val="0"/>
          <w:color w:val="auto"/>
          <w:sz w:val="32"/>
          <w:szCs w:val="30"/>
          <w:lang w:val="en-US" w:eastAsia="zh-CN"/>
        </w:rPr>
        <w:t>时间：</w:t>
      </w:r>
      <w:r>
        <w:rPr>
          <w:rFonts w:hint="eastAsia" w:ascii="黑体" w:hAnsi="黑体" w:eastAsia="黑体" w:cs="黑体"/>
          <w:b/>
          <w:bCs/>
          <w:color w:val="auto"/>
          <w:sz w:val="32"/>
          <w:szCs w:val="30"/>
          <w:lang w:val="en-US" w:eastAsia="zh-CN"/>
        </w:rPr>
        <w:t>2022年7月20-22日   上午09:00-11:00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5140" w:firstLineChars="1600"/>
        <w:jc w:val="left"/>
        <w:textAlignment w:val="auto"/>
        <w:outlineLvl w:val="9"/>
        <w:rPr>
          <w:rFonts w:hint="eastAsia" w:ascii="黑体" w:hAnsi="黑体" w:eastAsia="黑体" w:cs="黑体"/>
          <w:b w:val="0"/>
          <w:bCs w:val="0"/>
          <w:sz w:val="32"/>
          <w:szCs w:val="30"/>
          <w:lang w:val="en-US" w:eastAsia="zh-CN"/>
        </w:rPr>
      </w:pPr>
      <w:r>
        <w:rPr>
          <w:rFonts w:hint="eastAsia" w:ascii="黑体" w:hAnsi="黑体" w:eastAsia="黑体" w:cs="黑体"/>
          <w:b/>
          <w:bCs/>
          <w:color w:val="auto"/>
          <w:sz w:val="32"/>
          <w:szCs w:val="30"/>
          <w:lang w:val="en-US" w:eastAsia="zh-CN"/>
        </w:rPr>
        <w:t>下午15:00-17：00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17" w:leftChars="8" w:firstLine="617" w:firstLineChars="193"/>
        <w:jc w:val="left"/>
        <w:textAlignment w:val="auto"/>
        <w:outlineLvl w:val="9"/>
        <w:rPr>
          <w:rFonts w:hint="eastAsia" w:ascii="黑体" w:hAnsi="黑体" w:eastAsia="黑体" w:cs="黑体"/>
          <w:b/>
          <w:bCs/>
          <w:sz w:val="32"/>
          <w:szCs w:val="30"/>
          <w:lang w:val="en-US" w:eastAsia="zh-CN"/>
        </w:rPr>
      </w:pPr>
      <w:r>
        <w:rPr>
          <w:rFonts w:hint="eastAsia" w:ascii="黑体" w:hAnsi="黑体" w:eastAsia="黑体" w:cs="黑体"/>
          <w:b w:val="0"/>
          <w:bCs w:val="0"/>
          <w:sz w:val="32"/>
          <w:szCs w:val="30"/>
          <w:lang w:val="en-US" w:eastAsia="zh-CN"/>
        </w:rPr>
        <w:t>地点:</w:t>
      </w:r>
      <w:r>
        <w:rPr>
          <w:rFonts w:hint="eastAsia" w:ascii="黑体" w:hAnsi="黑体" w:eastAsia="黑体" w:cs="黑体"/>
          <w:b/>
          <w:bCs/>
          <w:sz w:val="32"/>
          <w:szCs w:val="30"/>
          <w:lang w:val="en-US" w:eastAsia="zh-CN"/>
        </w:rPr>
        <w:t>吕梁市文联404办公室（吕梁市离石区滨河南中路268号吕梁宾馆北楼）</w:t>
      </w:r>
    </w:p>
    <w:p>
      <w:pPr>
        <w:pStyle w:val="2"/>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黑体" w:hAnsi="黑体" w:eastAsia="黑体" w:cs="黑体"/>
          <w:b w:val="0"/>
          <w:bCs w:val="0"/>
          <w:kern w:val="2"/>
          <w:sz w:val="32"/>
          <w:szCs w:val="30"/>
          <w:lang w:val="en-US" w:eastAsia="zh-CN" w:bidi="ar-SA"/>
        </w:rPr>
      </w:pPr>
      <w:r>
        <w:rPr>
          <w:rFonts w:hint="eastAsia" w:ascii="黑体" w:hAnsi="黑体" w:eastAsia="黑体" w:cs="黑体"/>
          <w:b w:val="0"/>
          <w:bCs w:val="0"/>
          <w:kern w:val="2"/>
          <w:sz w:val="32"/>
          <w:szCs w:val="30"/>
          <w:lang w:val="en-US" w:eastAsia="zh-CN" w:bidi="ar-SA"/>
        </w:rPr>
        <w:t>咨询电话：0358-3371007；监督电话：0358-3381211</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资格复审所需材料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）《报名登记表》（彩色打印一式三份，并在本人承诺部分签字）；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）本人有效身份证、户口簿（首页及本人页）原件及复印件（一式三份）；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）本人近一年内2寸红底免冠正面照片3张；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）毕业证、学位证原件及复印件（一式三份）；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通过学信网下载的《教育部学历证书电子注册备案表》学历证明；通过中国学位与研究生教育信息网下载的《教育部与研究生发展中心认证报告》学位证明；留学人员应提供教育部中国留学服务中心出具的国（境）外学历、学位证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2022年4月29日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的工作年限等。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证件（证明）不全或所提供的证件（证明）与所报岗位资格条件不符以及主要信息不实，影响资格复审的，取消该应聘人员参加面试资格。应聘人员未按规定时间、地点参加资格复审的，视为自动放弃</w:t>
      </w:r>
      <w:r>
        <w:rPr>
          <w:rFonts w:hint="eastAsia" w:ascii="仿宋_GB2312" w:hAnsi="仿宋_GB2312" w:eastAsia="仿宋_GB2312" w:cs="仿宋_GB2312"/>
          <w:sz w:val="32"/>
          <w:szCs w:val="32"/>
          <w:lang w:val="en-US" w:eastAsia="zh-CN"/>
        </w:rPr>
        <w:t>资格复审</w:t>
      </w:r>
      <w:r>
        <w:rPr>
          <w:rFonts w:hint="eastAsia" w:ascii="仿宋_GB2312" w:hAnsi="仿宋_GB2312" w:eastAsia="仿宋_GB2312" w:cs="仿宋_GB2312"/>
          <w:sz w:val="32"/>
          <w:szCs w:val="32"/>
        </w:rPr>
        <w:t>资格。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资格审查贯穿本次</w:t>
      </w:r>
      <w:r>
        <w:rPr>
          <w:rFonts w:hint="eastAsia" w:ascii="仿宋_GB2312" w:hAnsi="仿宋_GB2312" w:eastAsia="仿宋_GB2312" w:cs="仿宋_GB2312"/>
          <w:sz w:val="32"/>
          <w:szCs w:val="32"/>
          <w:lang w:val="en-US" w:eastAsia="zh-CN"/>
        </w:rPr>
        <w:t>招才引智</w:t>
      </w:r>
      <w:r>
        <w:rPr>
          <w:rFonts w:hint="eastAsia" w:ascii="仿宋_GB2312" w:hAnsi="仿宋_GB2312" w:eastAsia="仿宋_GB2312" w:cs="仿宋_GB2312"/>
          <w:sz w:val="32"/>
          <w:szCs w:val="32"/>
        </w:rPr>
        <w:t>工作全过程，在任何环节发现不符合岗位报名要求的考生，立即取消其考试资格。</w:t>
      </w:r>
    </w:p>
    <w:p>
      <w:pPr>
        <w:keepNext w:val="0"/>
        <w:keepLines w:val="0"/>
        <w:pageBreakBefore w:val="0"/>
        <w:widowControl w:val="0"/>
        <w:numPr>
          <w:numId w:val="0"/>
        </w:numPr>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sz w:val="32"/>
          <w:szCs w:val="30"/>
          <w:lang w:val="en-US" w:eastAsia="zh-CN"/>
        </w:rPr>
        <w:t>三、资格复审注意事项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（一）资格复审必须由考生本人参加，其他人不得代替资格复审。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（二）考生本人未按规定时间、地点参加资格复审的，视为自动放弃资格复审资格。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（三）证件（证明）不全或所提供的证件（证明）与所报岗位资格条件不符以及主要信息不实，影响资格复审的，取消该考生资格复审资格。</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kern w:val="2"/>
          <w:sz w:val="32"/>
          <w:szCs w:val="32"/>
          <w:lang w:val="en-US" w:eastAsia="zh-CN" w:bidi="ar-SA"/>
        </w:rPr>
        <w:t>参加资格复审的考生请认真阅读本公告，提前准备所需材料。</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w:t>
      </w:r>
      <w:bookmarkStart w:id="0" w:name="_GoBack"/>
      <w:bookmarkEnd w:id="0"/>
      <w:r>
        <w:rPr>
          <w:rFonts w:hint="eastAsia" w:ascii="黑体" w:hAnsi="黑体" w:eastAsia="黑体" w:cs="黑体"/>
          <w:color w:val="000000"/>
          <w:sz w:val="32"/>
          <w:szCs w:val="32"/>
          <w:lang w:val="en-US" w:eastAsia="zh-CN"/>
        </w:rPr>
        <w:t>疫情防控注意事项</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考生须申报本人资格复审前14天健康、行程状况并如实填报《吕梁市2022年度市直事业单位招才引智考试考生健康状况、行程登记表暨考生承诺书》(按本次招才引智公告，考生网上报名成功后，先自行登记体温的要求，截取资格复审前14天体温记录进行登记)。凡违反常态化疫情防控有关规定，瞒报、谎报、漏报旅居史、接触史、健康状态等疫情防控重点信息的，以及在资格复审疫情防控中拒不配合的人员，将依法依规予以处理并取消资格复审资格。</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参加资格复审的考生须提前申领本人“健康码”、“通信行程卡”、“48小时内核酸检测报告”，以备参加资格复审时查验收取。(“健康码”、“通信行程卡”需要显示本人姓名和身份证号并彩色打印到一张A4纸上)。在资格复审指定地点进行体温检测、扫场所码、查验两码（健康码、通信行程卡），并提供本人身份证、“48小时内核酸检测报告”、《吕梁市2022年度市直事业单位招才引智考试考生健康状况、行程登记表暨考生承诺书》。</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（三）考生须自觉遵守山西省疫情防控规定，按照疫情防控要求参加资格复审。</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省外入吕返吕人员：</w:t>
      </w:r>
      <w:r>
        <w:rPr>
          <w:rFonts w:hint="eastAsia" w:ascii="仿宋_GB2312" w:hAnsi="仿宋_GB2312" w:eastAsia="仿宋_GB2312" w:cs="仿宋_GB2312"/>
          <w:color w:val="000000"/>
          <w:sz w:val="32"/>
          <w:szCs w:val="32"/>
          <w:lang w:val="en-US" w:eastAsia="zh-CN"/>
        </w:rPr>
        <w:t>（1）所有省外来吕返吕人员要严格查验两码一证（山西健康码、通信大数据行程卡、48小时核酸阴性证明）。所有省外涉疫地区入吕返吕人员，要严格落实“落地核酸+点对点转运+精准赋码+隔离管控”的全链条闭环管理措施。</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对7天内有中高风险地区以及重点疫情地区（根据研判动态调整）旅居史入吕返吕人员、红码人员，扫场所码、吕梁市返乡人员登记系统，“第一落点”管控，进行点对点接返，实施“7+7+5”管控措施，即7天集中隔离医学观察，7天居家健康监测，分别于第1、3、7、10、14天开展1次核酸检测。同时，排查时间从当地调整风险等级之日起回溯7天。</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对7天内有病例报告但尚未调整风险等级地市旅居史入吕返吕人员、黄码人员，扫场所码、吕梁市返乡人员登记系统，“第一落点”管控，进行点对点接返，实施“7+3”管控措施，即7天居家或健康驿站隔离医学观察，分别于第1、3、7天各开展1次核酸检测。同时，排查时间从当地报告病例之日起回溯7天。</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对其他无疫情地区旅居史的入吕返吕人员，在第一落点进行核酸检测采样，即采即走即追，不再进行抗原检测。在核酸检测结果出来前居家或在驻地健康监测，核酸检测结果为阴性的可在做好个人防护的前提下有序流动，不聚集、不聚餐、不聚会，并在随后的3天中继续完成2次核酸检测（2次检测时间要间隔24小时以上），结果均为阴性后可解除健康监测；核酸检测结果阳性的，立即启动应急响应机制，追阳管控。</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省内入吕返吕人员：</w:t>
      </w:r>
      <w:r>
        <w:rPr>
          <w:rFonts w:hint="eastAsia" w:ascii="仿宋_GB2312" w:hAnsi="仿宋_GB2312" w:eastAsia="仿宋_GB2312" w:cs="仿宋_GB2312"/>
          <w:color w:val="000000"/>
          <w:sz w:val="32"/>
          <w:szCs w:val="32"/>
          <w:lang w:val="en-US" w:eastAsia="zh-CN"/>
        </w:rPr>
        <w:t>省内有疫情的市，要按照封控区、管控区、防范区的划定，由属地县（市、区）对“三区人员”科学精准赋红、黄码，落实分类管控措施；中高风险地区所在县（市、区）及7日内有病例报告但未调整风险等级县（市、区）的人员严格限制离开本县；本市其他县（市、区）人员持5日内核酸检测阴性证明和健康码绿码有序流动。省内无本土疫情市的人员，检疫登记系统为绿标，持健康码绿码有序流动。</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（四）考生可随时关注吕梁市人民政府疫情防控工作专栏动态，及时调整入吕返吕时间。</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参加资格复审时，须做好个人防护，自备一次性防护口罩，除查验身份时摘戴口罩外，应当全程正确佩戴口罩；须听从工作人员指挥，分散进入资格复审点，进出、如厕时均须与他人保持1米以上距离，避免近距离接触交流。</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（六）复审当天，若考生在进入资格复审点或复审过程中出现发热、咳嗽等症状，由资格复审点医护人员进行初步诊断，如需采取隔离措施，送往定点医院进行医治。</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考生应当切实增强疫情防控意识，履行个人疫情防控义务。尽量少去人员密集的公共场所，减少在公共场所逗留时间，保持人与人之间的安全距离，最大限度地减少参加聚会、聚集等有传染风险的活动，并做好有关防护工作。</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（八）请考生提前熟悉资格复审点路线，选择合理行程方式和住宿酒店，确保防护安全。</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（九）受新冠肺炎疫情影响，吕梁市文联2022年招才引智实施方案有关程序、步骤、要求等可能因疫情防控工作需要作出调整，请报考人员随时关注吕梁人事人才网相关公告。</w:t>
      </w:r>
    </w:p>
    <w:p>
      <w:pPr>
        <w:pStyle w:val="2"/>
        <w:keepNext w:val="0"/>
        <w:keepLines w:val="0"/>
        <w:pageBreakBefore w:val="0"/>
        <w:kinsoku/>
        <w:wordWrap/>
        <w:overflowPunct/>
        <w:topLinePunct w:val="0"/>
        <w:autoSpaceDE/>
        <w:autoSpaceDN/>
        <w:bidi w:val="0"/>
        <w:adjustRightInd/>
        <w:spacing w:line="60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吕梁市文联</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招才引智工作领导组（代章）</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pPr>
      <w:r>
        <w:rPr>
          <w:rFonts w:hint="eastAsia" w:ascii="仿宋_GB2312" w:hAnsi="仿宋_GB2312" w:eastAsia="仿宋_GB2312" w:cs="仿宋_GB2312"/>
          <w:sz w:val="32"/>
          <w:szCs w:val="32"/>
          <w:lang w:val="en-US" w:eastAsia="zh-CN"/>
        </w:rPr>
        <w:t>2022年7月5日</w:t>
      </w:r>
    </w:p>
    <w:p>
      <w:pPr>
        <w:jc w:val="center"/>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081A2"/>
    <w:multiLevelType w:val="singleLevel"/>
    <w:tmpl w:val="018081A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MzczZjY1NjNlMzk3ZjEyZWU4ZGM5NGZmZjYxN2IifQ=="/>
  </w:docVars>
  <w:rsids>
    <w:rsidRoot w:val="00000000"/>
    <w:rsid w:val="0E7A2D9A"/>
    <w:rsid w:val="2EA106D3"/>
    <w:rsid w:val="461B6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2957</Words>
  <Characters>3079</Characters>
  <Lines>0</Lines>
  <Paragraphs>0</Paragraphs>
  <TotalTime>26</TotalTime>
  <ScaleCrop>false</ScaleCrop>
  <LinksUpToDate>false</LinksUpToDate>
  <CharactersWithSpaces>3085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2022-07-06T01:22:00Z</dcterms:created>
  <dc:creator>HUAWEI</dc:creator>
  <cp:lastModifiedBy>123</cp:lastModifiedBy>
  <dcterms:modified xsi:type="dcterms:W3CDTF">2022-07-06T12:29:15Z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D2BF95DE40E74AE69E3E6605EAAE3024</vt:lpwstr>
  </property>
</Properties>
</file>