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left"/>
        <w:rPr>
          <w:rFonts w:hint="default"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center"/>
        <w:rPr>
          <w:rFonts w:hint="eastAsia" w:ascii="方正公文小标宋" w:hAnsi="方正公文小标宋" w:eastAsia="方正公文小标宋" w:cs="方正公文小标宋"/>
          <w:b w:val="0"/>
          <w:bCs w:val="0"/>
          <w:i w:val="0"/>
          <w:iCs w:val="0"/>
          <w:caps w:val="0"/>
          <w:color w:val="000000" w:themeColor="text1"/>
          <w:spacing w:val="0"/>
          <w:sz w:val="36"/>
          <w:szCs w:val="36"/>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36"/>
          <w:szCs w:val="36"/>
          <w:shd w:val="clear" w:fill="FFFFFF"/>
          <w:lang w:eastAsia="zh-CN"/>
          <w14:textFill>
            <w14:solidFill>
              <w14:schemeClr w14:val="tx1"/>
            </w14:solidFill>
          </w14:textFill>
        </w:rPr>
        <w:t>面试</w:t>
      </w:r>
      <w:bookmarkStart w:id="0" w:name="_GoBack"/>
      <w:bookmarkEnd w:id="0"/>
      <w:r>
        <w:rPr>
          <w:rFonts w:hint="eastAsia" w:ascii="方正公文小标宋" w:hAnsi="方正公文小标宋" w:eastAsia="方正公文小标宋" w:cs="方正公文小标宋"/>
          <w:b w:val="0"/>
          <w:bCs w:val="0"/>
          <w:i w:val="0"/>
          <w:iCs w:val="0"/>
          <w:caps w:val="0"/>
          <w:color w:val="000000" w:themeColor="text1"/>
          <w:spacing w:val="0"/>
          <w:sz w:val="36"/>
          <w:szCs w:val="36"/>
          <w:shd w:val="clear" w:fill="FFFFFF"/>
          <w14:textFill>
            <w14:solidFill>
              <w14:schemeClr w14:val="tx1"/>
            </w14:solidFill>
          </w14:textFill>
        </w:rPr>
        <w:t>疫情防控要求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考生参加</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面试</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须符合以下疫情防控健康监测要求：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（一）考前准备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1.考生须提前了解并确保自己符合海南省防疫规定要求，自觉做好自身健康管理。合理安排出行时间，密切关注疫情动态，非必要不前往中高风险地区和报告确诊病例的地区。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2.健康码为绿码考生须提供开考前48小时内1次核酸检测阴性的证明。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3.健康码不为绿色的考生，须按照以下不同情况提交相应的证明材料：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（1）考前14天内有过发热（体温超过37.3℃）、咳嗽、气促等症状但排除新冠病毒感染的考生，须提供开考前48小时内1次核酸检测结果阴性的证明。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面</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试前被有关部门划定为密接、次密接，</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面试</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前14天有涉疫区旅居史人员，应按要求完成管控，取得相关证明并提供</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面试</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前48小时内2次核酸检测结果阴性的证明。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（3）面试前28天内有境外旅居史，21天有国内中高风险区或有一般、重点及严重涉疫地区旅居史的人员，严格按照我省疫情防控指挥部要求实施管控，尚在集中医学观察及居家健康监测期间，不得入场参加面试。</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面试进入考点</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时提供解除集中隔离告知书、解除居家健康监测告知书、</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面试</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前48小时内两次（间隔24小时）核酸检测阴性证明。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4.凡隐瞒病情或者不如实报告发热史、旅行史（旅居史）和接触史等信息，以及拒不配合</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面试</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疫情防控工作者，将被取消考</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面</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资格，并按照《治安管理处罚法》《传染病防治法》和《关于依法惩治妨害新型冠状病毒感染肺炎疫情防控违法犯罪的意见》等法律法规予以处理。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5.</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面</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试疫情防控措施将根据疫情防控形势变化适时调整，请考生密切关注</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海南省药品监督管理局官网</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发布的公告。具体防疫工作将根据海南省新型冠状病毒肺炎疫情防控工作指挥部最新防疫工作要求进行调整。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（二）应试要求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1.考生进入考点时须佩戴</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一次性医用外科口罩”（考生自备）</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，接受防疫安全检查和指导，听从考点</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面</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试工作人员指挥。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考生出示“健康码”、“通信大数据行程卡”、纸质版开考前48小时内(至少1次)核酸检测阴性证明，并交由工作人员检查，测量体温低于37.3℃的考生，方可入进入考点；“健康码”不为绿码的考生，还须按上述要求提供核酸检测结果为阴性的证明，方可进入考点；考生体温达到或超过37.3℃，须服从考点应急处置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除进入面试考场进行面试外，考生需全程佩带“一次性医用外科口罩”（考生自备）</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考试过程中，</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考生如突感不适，应主动联系工作人员，听从工作人员安排。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（三）健康码及通信大数据行程卡获取方式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1.健康码获取方式如下：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（1）微信可点击“发现”-“搜一搜”，在搜索框输入“健康码”，进入“国家政务服务平台”，填写基本信息，获取防疫健康信息码。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（2）扫描“海南健康码”二维码，填写基本信息，获取海南健康码。</w:t>
      </w:r>
    </w:p>
    <w:tbl>
      <w:tblPr>
        <w:tblStyle w:val="5"/>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p>
        </w:tc>
        <w:tc>
          <w:tcPr>
            <w:tcW w:w="0" w:type="auto"/>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30"/>
                <w:szCs w:val="30"/>
                <w:lang w:val="en-US" w:eastAsia="zh-CN" w:bidi="ar"/>
                <w14:textFill>
                  <w14:solidFill>
                    <w14:schemeClr w14:val="tx1"/>
                  </w14:solidFill>
                </w14:textFill>
              </w:rPr>
              <w:drawing>
                <wp:inline distT="0" distB="0" distL="114300" distR="114300">
                  <wp:extent cx="2400300" cy="2276475"/>
                  <wp:effectExtent l="0" t="0" r="0" b="9525"/>
                  <wp:docPr id="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true"/>
                          </pic:cNvPicPr>
                        </pic:nvPicPr>
                        <pic:blipFill>
                          <a:blip r:embed="rId5"/>
                          <a:stretch>
                            <a:fillRect/>
                          </a:stretch>
                        </pic:blipFill>
                        <pic:spPr>
                          <a:xfrm>
                            <a:off x="0" y="0"/>
                            <a:ext cx="2400300" cy="2276475"/>
                          </a:xfrm>
                          <a:prstGeom prst="rect">
                            <a:avLst/>
                          </a:prstGeom>
                          <a:noFill/>
                          <a:ln w="9525">
                            <a:noFill/>
                          </a:ln>
                        </pic:spPr>
                      </pic:pic>
                    </a:graphicData>
                  </a:graphic>
                </wp:inline>
              </w:drawing>
            </w:r>
          </w:p>
        </w:tc>
      </w:tr>
    </w:tbl>
    <w:p>
      <w:pPr>
        <w:keepNext w:val="0"/>
        <w:keepLines w:val="0"/>
        <w:pageBreakBefore w:val="0"/>
        <w:widowControl/>
        <w:suppressLineNumbers w:val="0"/>
        <w:kinsoku/>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30"/>
          <w:szCs w:val="30"/>
          <w:shd w:val="clear" w:fill="FFFFFF"/>
          <w:lang w:val="en-US" w:eastAsia="zh-CN" w:bidi="ar"/>
          <w14:textFill>
            <w14:solidFill>
              <w14:schemeClr w14:val="tx1"/>
            </w14:solidFill>
          </w14:textFill>
        </w:rPr>
        <w:t>（3）支付宝可点击“健康码”，填写基本信息，获取健康码。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（4）海南政务服务、椰城市民云APP均可获取“健康码”。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2.“通信大数据行程卡”获取方式如下：</w:t>
      </w:r>
    </w:p>
    <w:tbl>
      <w:tblPr>
        <w:tblStyle w:val="5"/>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drawing>
                <wp:inline distT="0" distB="0" distL="114300" distR="114300">
                  <wp:extent cx="2409825" cy="2276475"/>
                  <wp:effectExtent l="0" t="0" r="9525" b="9525"/>
                  <wp:docPr id="1"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true"/>
                          </pic:cNvPicPr>
                        </pic:nvPicPr>
                        <pic:blipFill>
                          <a:blip r:embed="rId6"/>
                          <a:stretch>
                            <a:fillRect/>
                          </a:stretch>
                        </pic:blipFill>
                        <pic:spPr>
                          <a:xfrm>
                            <a:off x="0" y="0"/>
                            <a:ext cx="2409825" cy="2276475"/>
                          </a:xfrm>
                          <a:prstGeom prst="rect">
                            <a:avLst/>
                          </a:prstGeom>
                          <a:noFill/>
                          <a:ln w="9525">
                            <a:noFill/>
                          </a:ln>
                        </pic:spPr>
                      </pic:pic>
                    </a:graphicData>
                  </a:graphic>
                </wp:inline>
              </w:drawing>
            </w:r>
          </w:p>
        </w:tc>
      </w:tr>
    </w:tbl>
    <w:p>
      <w:pPr>
        <w:keepNext w:val="0"/>
        <w:keepLines w:val="0"/>
        <w:widowControl/>
        <w:suppressLineNumbers w:val="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fill="FFFFFF"/>
          <w:lang w:val="en-US" w:eastAsia="zh-CN" w:bidi="ar"/>
          <w14:textFill>
            <w14:solidFill>
              <w14:schemeClr w14:val="tx1"/>
            </w14:solidFill>
          </w14:textFill>
        </w:rPr>
        <w:t>    （1）打开微信“扫一扫”输入手机号及短信验证码进行查询。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（2）打开微信点击“发现”—“搜一搜”，在搜索框输入“通信大数据行程卡”，进入“国务院客户端”，填写手机号及验证码，获取大数据通信大数据行程卡。</w:t>
      </w:r>
    </w:p>
    <w:p>
      <w:pPr>
        <w:rPr>
          <w:rFonts w:hint="eastAsia" w:ascii="宋体" w:hAnsi="宋体" w:eastAsia="宋体" w:cs="宋体"/>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Tg5NGE5ZGJjNzkxZWZjZWVkOGZmMGRjY2Q2YjIifQ=="/>
  </w:docVars>
  <w:rsids>
    <w:rsidRoot w:val="74203A36"/>
    <w:rsid w:val="07873A5C"/>
    <w:rsid w:val="0A466333"/>
    <w:rsid w:val="0B91045B"/>
    <w:rsid w:val="164976AB"/>
    <w:rsid w:val="19DD0836"/>
    <w:rsid w:val="1A9A2283"/>
    <w:rsid w:val="1B8847D2"/>
    <w:rsid w:val="23A56F64"/>
    <w:rsid w:val="258C59A3"/>
    <w:rsid w:val="42254279"/>
    <w:rsid w:val="45044742"/>
    <w:rsid w:val="56F76347"/>
    <w:rsid w:val="5FE315A4"/>
    <w:rsid w:val="6BCB7ABB"/>
    <w:rsid w:val="74203A36"/>
    <w:rsid w:val="75B4272A"/>
    <w:rsid w:val="77BF424C"/>
    <w:rsid w:val="7E3E3F72"/>
    <w:rsid w:val="7FC06DB4"/>
    <w:rsid w:val="875AFEA2"/>
    <w:rsid w:val="9B3B3728"/>
    <w:rsid w:val="C3D7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1400</Words>
  <Characters>1448</Characters>
  <Lines>0</Lines>
  <Paragraphs>0</Paragraphs>
  <TotalTime>14</TotalTime>
  <ScaleCrop>false</ScaleCrop>
  <LinksUpToDate>false</LinksUpToDate>
  <CharactersWithSpaces>1448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2022-03-11T15:55:00Z</dcterms:created>
  <dc:creator>冰冰</dc:creator>
  <cp:lastModifiedBy>uos</cp:lastModifiedBy>
  <cp:lastPrinted>2022-06-21T18:34:00Z</cp:lastPrinted>
  <dcterms:modified xsi:type="dcterms:W3CDTF">2022-06-21T11:30:34Z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5A6E640F1C6B48A0B4FFAF356EA31801</vt:lpwstr>
  </property>
</Properties>
</file>