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left"/>
        <w:rPr>
          <w:rFonts w:hint="default"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32"/>
          <w:szCs w:val="32"/>
          <w:shd w:val="clear" w:fill="FFFFFF"/>
          <w:lang w:eastAsia="zh-CN"/>
          <w14:textFill>
            <w14:solidFill>
              <w14:schemeClr w14:val="tx1"/>
            </w14:solidFill>
          </w14:textFill>
        </w:rPr>
        <w:t>附件</w:t>
      </w:r>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4</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center"/>
        <w:rPr>
          <w:rFonts w:hint="eastAsia" w:ascii="宋体" w:hAnsi="宋体" w:eastAsia="宋体" w:cs="宋体"/>
          <w:b/>
          <w:bCs/>
          <w:i w:val="0"/>
          <w:iCs w:val="0"/>
          <w:caps w:val="0"/>
          <w:color w:val="000000" w:themeColor="text1"/>
          <w:spacing w:val="0"/>
          <w:sz w:val="36"/>
          <w:szCs w:val="36"/>
          <w14:textFill>
            <w14:solidFill>
              <w14:schemeClr w14:val="tx1"/>
            </w14:solidFill>
          </w14:textFill>
        </w:rPr>
      </w:pPr>
      <w:r>
        <w:rPr>
          <w:rFonts w:hint="eastAsia" w:ascii="宋体" w:hAnsi="宋体" w:eastAsia="宋体" w:cs="宋体"/>
          <w:b/>
          <w:bCs/>
          <w:i w:val="0"/>
          <w:iCs w:val="0"/>
          <w:caps w:val="0"/>
          <w:color w:val="000000" w:themeColor="text1"/>
          <w:spacing w:val="0"/>
          <w:sz w:val="36"/>
          <w:szCs w:val="36"/>
          <w:shd w:val="clear" w:fill="FFFFFF"/>
          <w14:textFill>
            <w14:solidFill>
              <w14:schemeClr w14:val="tx1"/>
            </w14:solidFill>
          </w14:textFill>
        </w:rPr>
        <w:t>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考生参加</w:t>
      </w:r>
      <w:r>
        <w:rPr>
          <w:rFonts w:hint="eastAsia" w:ascii="仿宋" w:hAnsi="仿宋" w:eastAsia="仿宋" w:cs="仿宋"/>
          <w:i w:val="0"/>
          <w:iCs w:val="0"/>
          <w:caps w:val="0"/>
          <w:color w:val="000000" w:themeColor="text1"/>
          <w:spacing w:val="0"/>
          <w:sz w:val="30"/>
          <w:szCs w:val="30"/>
          <w:shd w:val="clear" w:fill="FFFFFF"/>
          <w:lang w:eastAsia="zh-CN"/>
          <w14:textFill>
            <w14:solidFill>
              <w14:schemeClr w14:val="tx1"/>
            </w14:solidFill>
          </w14:textFill>
        </w:rPr>
        <w:t>面试</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须符合以下疫情防控健康监测要求：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（一）考前准备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以下情形所要求提供的核酸检测阴性证明，均需以纸质形式提供：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auto"/>
          <w:spacing w:val="0"/>
          <w:sz w:val="30"/>
          <w:szCs w:val="30"/>
          <w:highlight w:val="none"/>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w:t>
      </w:r>
      <w:r>
        <w:rPr>
          <w:rFonts w:hint="eastAsia" w:ascii="仿宋" w:hAnsi="仿宋" w:eastAsia="仿宋" w:cs="仿宋"/>
          <w:b/>
          <w:bCs/>
          <w:i w:val="0"/>
          <w:iCs w:val="0"/>
          <w:caps w:val="0"/>
          <w:color w:val="000000" w:themeColor="text1"/>
          <w:spacing w:val="0"/>
          <w:sz w:val="30"/>
          <w:szCs w:val="30"/>
          <w:shd w:val="clear" w:fill="FFFFFF"/>
          <w14:textFill>
            <w14:solidFill>
              <w14:schemeClr w14:val="tx1"/>
            </w14:solidFill>
          </w14:textFill>
        </w:rPr>
        <w:t>健康码为绿码考生须提供开考前48小时内1次核酸检测阴性的证明</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3.健康码不为绿色的考生，须按照以下不同情况提交相应的证明材料，方可在常规考场参加考试：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（1）考前14天内有过发热（体温超过37.3℃）、咳嗽、气促等症状但排除新冠病毒感染的考生，须提供开考前48小时内1次核酸检测结果阴性的证明。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（2）考试前被有关部门划定为密接、次密接，考前14天有涉疫区旅居史人员，应按要求完成管控，取得相关证明并提供开考前48小时内2次核酸检测结果阴性的证明。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3）考前14天内有新冠肺炎疫情中高风险地区（根据全国疫情发展情况确定）旅居史的考生，需持解除集中隔离告知书、解除居家健康监测告知书、开考前48小时内两次（间隔24小时）核酸检测阴性证明，否则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4）考前28天内有境外旅居史的考生，严格按照我省疫情防控指挥部要求实施管控，须集中隔离医学观察14天、7天居家健康监测、7天自我健康监测。“14+7+7”健康管理期间，严格按要求做核酸检测。考试时提供居家健康监测期间2次核酸检测阴性证明和自我健康监测第7天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5.考试疫情防控措施将根据疫情防控形势变化适时调整，请考生密切关注</w:t>
      </w:r>
      <w:r>
        <w:rPr>
          <w:rFonts w:hint="eastAsia" w:ascii="仿宋" w:hAnsi="仿宋" w:eastAsia="仿宋" w:cs="仿宋"/>
          <w:b/>
          <w:bCs/>
          <w:i w:val="0"/>
          <w:iCs w:val="0"/>
          <w:caps w:val="0"/>
          <w:color w:val="000000" w:themeColor="text1"/>
          <w:spacing w:val="0"/>
          <w:sz w:val="30"/>
          <w:szCs w:val="30"/>
          <w:shd w:val="clear" w:fill="FFFFFF"/>
          <w:lang w:val="en-US" w:eastAsia="zh-CN"/>
          <w14:textFill>
            <w14:solidFill>
              <w14:schemeClr w14:val="tx1"/>
            </w14:solidFill>
          </w14:textFill>
        </w:rPr>
        <w:t>海口市卫生健康委员会网站、海口市疾病预防控制中心网站</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发布的公告。具体防疫工作将根据海南省新型冠状病毒肺炎疫情防控工作指挥部最新防疫工作要求进行调整。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（二）应试要求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1.考生进入考点时须佩戴口罩(自备)，接受防疫安全检查和指导，听从考点考试工作人员指挥。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考生出示“健康码”、“通信大数据行程卡”、纸质版开考前48小时内(至少1次)核酸检测阴性证明，并交由工作人员检查，测量体温低于37.3℃的考生，方可入进入考点；“健康码”不为绿码的考生，还须按上述要求提供核酸检测结果为阴性的证明，方可进入考点；考生体温达到或超过37.3℃，须服从考点应急处置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3.考试期间考生须全程佩戴口罩。考试过程中，考生如突感不适，应主动联系工作人员，听从工作人员安排。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（三）健康码及通信大数据行程卡获取方式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1.健康码获取方式如下：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（1）微信可点击“发现”-“搜一搜”，在搜索框输入“健康码”，进入“国家政务服务平台”，填写基本信息，获取防疫健康信息码。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（2）扫描“海南健康码”二维码，填写基本信息，获取海南健康码。</w:t>
      </w:r>
    </w:p>
    <w:tbl>
      <w:tblPr>
        <w:tblStyle w:val="3"/>
        <w:tblW w:w="4206" w:type="dxa"/>
        <w:jc w:val="center"/>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0" w:type="dxa"/>
          <w:jc w:val="center"/>
        </w:trPr>
        <w:tc>
          <w:tcPr>
            <w:tcW w:w="6" w:type="dxa"/>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p>
        </w:tc>
        <w:tc>
          <w:tcPr>
            <w:tcW w:w="4200" w:type="dxa"/>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lang w:val="en-US" w:eastAsia="zh-CN" w:bidi="ar"/>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400300" cy="2276475"/>
                          </a:xfrm>
                          <a:prstGeom prst="rect">
                            <a:avLst/>
                          </a:prstGeom>
                          <a:noFill/>
                          <a:ln w="9525">
                            <a:noFill/>
                          </a:ln>
                        </pic:spPr>
                      </pic:pic>
                    </a:graphicData>
                  </a:graphic>
                </wp:inline>
              </w:drawing>
            </w:r>
          </w:p>
        </w:tc>
      </w:tr>
    </w:tbl>
    <w:p>
      <w:pPr>
        <w:keepNext w:val="0"/>
        <w:keepLines w:val="0"/>
        <w:pageBreakBefore w:val="0"/>
        <w:widowControl/>
        <w:suppressLineNumbers w:val="0"/>
        <w:kinsoku/>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    （3）支付宝可点击“健康码”，填写基本信息，获取健康码。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（4）海南政务服务、椰城市民云APP均可获取“健康码”。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2.“通信大数据行程卡”获取方式如下：</w:t>
      </w:r>
    </w:p>
    <w:tbl>
      <w:tblPr>
        <w:tblStyle w:val="3"/>
        <w:tblW w:w="3816" w:type="dxa"/>
        <w:jc w:val="center"/>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
        <w:gridCol w:w="3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0" w:type="dxa"/>
          <w:jc w:val="center"/>
        </w:trPr>
        <w:tc>
          <w:tcPr>
            <w:tcW w:w="6" w:type="dxa"/>
            <w:shd w:val="clear" w:color="auto" w:fill="FFFFFF"/>
            <w:vAlign w:val="center"/>
          </w:tcPr>
          <w:p>
            <w:pPr>
              <w:jc w:val="left"/>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pPr>
          </w:p>
        </w:tc>
        <w:tc>
          <w:tcPr>
            <w:tcW w:w="381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themeColor="text1"/>
                <w:spacing w:val="0"/>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18"/>
                <w:szCs w:val="18"/>
                <w:lang w:val="en-US" w:eastAsia="zh-CN" w:bidi="ar"/>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09825" cy="2276475"/>
                          </a:xfrm>
                          <a:prstGeom prst="rect">
                            <a:avLst/>
                          </a:prstGeom>
                          <a:noFill/>
                          <a:ln w="9525">
                            <a:noFill/>
                          </a:ln>
                        </pic:spPr>
                      </pic:pic>
                    </a:graphicData>
                  </a:graphic>
                </wp:inline>
              </w:drawing>
            </w:r>
          </w:p>
        </w:tc>
      </w:tr>
    </w:tbl>
    <w:p>
      <w:pPr>
        <w:keepNext w:val="0"/>
        <w:keepLines w:val="0"/>
        <w:widowControl/>
        <w:suppressLineNumbers w:val="0"/>
        <w:jc w:val="left"/>
        <w:rPr>
          <w:color w:val="000000" w:themeColor="text1"/>
          <w14:textFill>
            <w14:solidFill>
              <w14:schemeClr w14:val="tx1"/>
            </w14:solidFill>
          </w14:textFill>
        </w:rPr>
      </w:pPr>
      <w:r>
        <w:rPr>
          <w:rFonts w:hint="default" w:ascii="仿宋_GB2312" w:hAnsi="仿宋"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1）打开微信“扫一扫”输入手机号及短信验证码进行查询。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both"/>
        <w:rPr>
          <w:rFonts w:hint="default" w:ascii="Calibri" w:hAnsi="Calibri" w:cs="Calibri"/>
          <w:i w:val="0"/>
          <w:iCs w:val="0"/>
          <w:caps w:val="0"/>
          <w:color w:val="000000" w:themeColor="text1"/>
          <w:spacing w:val="0"/>
          <w:sz w:val="21"/>
          <w:szCs w:val="21"/>
          <w14:textFill>
            <w14:solidFill>
              <w14:schemeClr w14:val="tx1"/>
            </w14:solidFill>
          </w14:textFill>
        </w:rPr>
      </w:pPr>
      <w:r>
        <w:rPr>
          <w:rFonts w:hint="default" w:ascii="仿宋_GB2312" w:hAnsi="仿宋"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MGY2M2RkNzA1NTY1ZmQ3ZWQxZDNkYjAzNmFjNmEifQ=="/>
  </w:docVars>
  <w:rsids>
    <w:rsidRoot w:val="74203A36"/>
    <w:rsid w:val="07873A5C"/>
    <w:rsid w:val="0A466333"/>
    <w:rsid w:val="0B91045B"/>
    <w:rsid w:val="164976AB"/>
    <w:rsid w:val="19DD0836"/>
    <w:rsid w:val="1A9A2283"/>
    <w:rsid w:val="1B8847D2"/>
    <w:rsid w:val="258C59A3"/>
    <w:rsid w:val="2B141243"/>
    <w:rsid w:val="2D023809"/>
    <w:rsid w:val="36211F7D"/>
    <w:rsid w:val="42254279"/>
    <w:rsid w:val="45044742"/>
    <w:rsid w:val="56F76347"/>
    <w:rsid w:val="5FE315A4"/>
    <w:rsid w:val="62230BFC"/>
    <w:rsid w:val="659E6C3C"/>
    <w:rsid w:val="6BCB7ABB"/>
    <w:rsid w:val="74203A36"/>
    <w:rsid w:val="75B4272A"/>
    <w:rsid w:val="77BF424C"/>
    <w:rsid w:val="79B97394"/>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1337</Words>
  <Characters>1380</Characters>
  <Lines>0</Lines>
  <Paragraphs>0</Paragraphs>
  <TotalTime>1</TotalTime>
  <ScaleCrop>false</ScaleCrop>
  <LinksUpToDate>false</LinksUpToDate>
  <CharactersWithSpaces>1380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Administrator</cp:lastModifiedBy>
  <dcterms:modified xsi:type="dcterms:W3CDTF">2022-06-13T01:05:36Z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214869D08D0340849BF4BBD54D3CF9C0</vt:lpwstr>
  </property>
</Properties>
</file>