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石首市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公开招考村（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农村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社区）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两委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后备干部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加强村（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农村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社区）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两委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干部队伍建设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进一步培育村级后备干部，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储备优秀乡村人才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助推乡村振兴。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经市委同意，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结合我市实际，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在全市范围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农村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两委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后备干部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具体事项公告如下：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招聘方式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公开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采取现场报名、资格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初审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、笔试、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资格复审、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面试、考察、体检等方式进行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招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考数量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村（农村社区）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两委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后备干部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职位</w:t>
      </w:r>
      <w:r>
        <w:rPr>
          <w:rFonts w:hint="default" w:ascii="Times New Roman" w:hAnsi="Times New Roman" w:eastAsia="黑体" w:cs="Times New Roman"/>
          <w:sz w:val="32"/>
          <w:szCs w:val="32"/>
        </w:rPr>
        <w:t>条件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（一）职位应具备的基本条件：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具有中华人民共和国国籍，拥护中华人民共和国宪法，遵守国家法律法规，有良好的品行和职业道德，具有正常履行岗位职责的身体条件。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政治素质好。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热爱农村工作，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有较强的事业心和责任感，有奉献精神，热心为群众办实事，能够领会把握并坚决贯彻执行党在农村的各项方针政策和上级党委、政府决策部署。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.作风品行好。遵纪守法，为人正派，作风民主，廉洁自律，秉公办事；有较强的责任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和奉献精神，能真心实意为群众谋利益。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.身体健康，能胜任基层工作，适应跨乡镇跨村任职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服从岗位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调剂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具有高中、技工院校、中专及以上学历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年龄在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周岁以下（198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.同等条件下，优先考虑中共正式党员。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.具备一定的文字功底，会熟练使用办公软件。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（二）职位应具备的其他条件：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发展能力强。发展经济意识强、思路清、办法多，能积极开辟致富门路，带头并带领群众科学发展、创业致富。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2.服务能力强。有较丰富的农业农村生活、工作经验，有农业生产管理、农村经济管理等方面技能，能够引领、指导、服务农村经济社会发展。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3.协调能力强。善于运用民主、法律、示范和服务等方法做群众工作，善于协调各方面关系，妥善化解矛盾，维护农村和谐稳定。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4.鼓励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下列人员积极参加招考：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从部队退伍转业处于择业待岗的人员，处于择业待岗期的大学毕业生，种植（养殖）能手、农民专业合作组织负责人或者农民专业合作组织中的骨干人员，外出务工经商人员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（三）有下列情形之一，不能参与报名：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1.政治素质差，不守政治纪律和政治规矩的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2.道德品质差，不遵守社会公德的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3.拒不履行党员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公民应尽义务的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4.违反国家法律法规，曾受过刑事处罚的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5.因个人问题受到留党察看及以上党内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纪律</w:t>
      </w:r>
      <w:r>
        <w:rPr>
          <w:rFonts w:hint="eastAsia" w:ascii="仿宋_GB2312" w:hAnsi="仿宋_GB2312" w:eastAsia="仿宋_GB2312" w:cs="仿宋_GB2312"/>
          <w:sz w:val="32"/>
          <w:szCs w:val="32"/>
        </w:rPr>
        <w:t>处分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或撤职及以上政务处分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6.参与封建迷信活动，信奉邪教的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受过党纪、政务处分仍在影响期内的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患有严重疾病，不能正常履职的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法律法规及有关政策规定的其他情形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四、招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黑体" w:cs="Times New Roman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现场报名。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报名时间从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起至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日17: 30截止。报名人员持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有关证明材料（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近期正面免冠1寸彩照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本人身份证、学历证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原件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及复印件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及《石首市公开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农村社区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两委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后备干部报名登记表》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到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所在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乡镇办区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党（工）委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组织办报名。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资格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初审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乡镇办区党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（工）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委对其报名资格进行初审，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综合考虑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申请报名人员的德才表现、工作能力和业绩，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将报考人员的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材料报送市委组织部组织二股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并按规定制作和发放准考证。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笔试。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25日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集中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报名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笔试。笔试成绩于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个工作日后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在石首市人民政府网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石首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先锋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等媒体上面向社会公示。笔试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时间、地点以准考证上通知为准。笔试试题由市委组织部委托具备考试服务资质的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第三方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机构按要求命制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和批阅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资格复审。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市委组织部会同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纪检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监察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公安、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检察、审判机关和司法行政、统战、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政法、教育、信访、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农业农村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等单位对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参加面试人员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的身份、学历、工作经历等信息进行资格复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审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根据考生笔试成绩从高分到低分，按招聘计划数与参加面试人数1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的比例，确定参加面试人选。面试时间初步定于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旬，具体时间、地点以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后期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发布的公告为准。面试结束后，按照笔试成绩占比40%，面试成绩占比60%确定考生综合成绩排名，并在石首市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政府网、石首先锋等媒体上公布。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/>
          <w:lang w:eastAsia="zh-CN"/>
        </w:rPr>
        <w:t>（</w:t>
      </w:r>
      <w:r>
        <w:rPr>
          <w:rFonts w:hint="eastAsia" w:ascii="Times New Roman" w:hAnsi="Times New Roman" w:eastAsia="楷体" w:cs="Times New Roman"/>
          <w:b/>
          <w:bCs/>
          <w:lang w:val="en-US" w:eastAsia="zh-CN"/>
        </w:rPr>
        <w:t>六</w:t>
      </w:r>
      <w:r>
        <w:rPr>
          <w:rFonts w:hint="default" w:ascii="Times New Roman" w:hAnsi="Times New Roman" w:eastAsia="楷体" w:cs="Times New Roman"/>
          <w:b/>
          <w:bCs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</w:rPr>
        <w:t>考察</w:t>
      </w:r>
      <w:r>
        <w:rPr>
          <w:rFonts w:hint="default" w:ascii="Times New Roman" w:hAnsi="Times New Roman" w:eastAsia="楷体" w:cs="Times New Roman"/>
          <w:b/>
          <w:bCs/>
          <w:lang w:eastAsia="zh-CN"/>
        </w:rPr>
        <w:t>。</w:t>
      </w:r>
      <w:r>
        <w:rPr>
          <w:rFonts w:hint="default" w:ascii="Times New Roman" w:hAnsi="Times New Roman" w:cs="Times New Roman"/>
        </w:rPr>
        <w:t>考察工作由市委组织部会同</w:t>
      </w:r>
      <w:r>
        <w:rPr>
          <w:rFonts w:hint="default" w:ascii="Times New Roman" w:hAnsi="Times New Roman" w:cs="Times New Roman"/>
          <w:lang w:eastAsia="zh-CN"/>
        </w:rPr>
        <w:t>各乡镇办区于</w:t>
      </w: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  <w:lang w:eastAsia="zh-CN"/>
        </w:rPr>
        <w:t>月下旬</w:t>
      </w:r>
      <w:r>
        <w:rPr>
          <w:rFonts w:hint="default" w:ascii="Times New Roman" w:hAnsi="Times New Roman" w:cs="Times New Roman"/>
        </w:rPr>
        <w:t>共同组织，</w:t>
      </w:r>
      <w:r>
        <w:rPr>
          <w:rFonts w:ascii="Times New Roman" w:hAnsi="Times New Roman" w:eastAsia="仿宋_GB2312"/>
          <w:sz w:val="32"/>
          <w:szCs w:val="32"/>
        </w:rPr>
        <w:t>根据考试综合得分成绩由高到低的顺序，按1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的比例确定入围对象</w:t>
      </w:r>
      <w:r>
        <w:rPr>
          <w:rFonts w:hint="default" w:ascii="Times New Roman" w:hAnsi="Times New Roman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>考察的主要内容</w:t>
      </w:r>
      <w:r>
        <w:rPr>
          <w:rFonts w:hint="default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cs="Times New Roman"/>
        </w:rPr>
        <w:t>政治思想、道德品质、能力素质、工作业绩、遵纪守法、廉洁自律等方面的情况。对考察不合格或在考察中发现不符合报考资格条件的人员，不予聘用，并按照综合成绩排名依次递补，无递补人员的，核减招</w:t>
      </w:r>
      <w:r>
        <w:rPr>
          <w:rFonts w:hint="default" w:ascii="Times New Roman" w:hAnsi="Times New Roman" w:cs="Times New Roman"/>
          <w:lang w:eastAsia="zh-CN"/>
        </w:rPr>
        <w:t>考</w:t>
      </w:r>
      <w:r>
        <w:rPr>
          <w:rFonts w:hint="eastAsia" w:ascii="Times New Roman" w:hAnsi="Times New Roman" w:cs="Times New Roman"/>
          <w:lang w:val="en-US" w:eastAsia="zh-CN"/>
        </w:rPr>
        <w:t>数量</w:t>
      </w:r>
      <w:r>
        <w:rPr>
          <w:rFonts w:hint="default" w:ascii="Times New Roman" w:hAnsi="Times New Roman" w:cs="Times New Roma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体检。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上</w:t>
      </w:r>
      <w:r>
        <w:rPr>
          <w:rFonts w:hint="default" w:ascii="Times New Roman" w:hAnsi="Times New Roman" w:cs="Times New Roman"/>
          <w:lang w:val="en-US" w:eastAsia="zh-CN"/>
        </w:rPr>
        <w:t>旬组织体检工作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。体检参照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公务员录用体检通用标准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试行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》有关规定组织，体检不合格的按照综合成绩排名顺序依次递补。没有递补对象的，核减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招考数量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lang w:eastAsia="zh-CN"/>
        </w:rPr>
        <w:t>（</w:t>
      </w:r>
      <w:r>
        <w:rPr>
          <w:rFonts w:hint="eastAsia" w:ascii="Times New Roman" w:hAnsi="Times New Roman" w:eastAsia="楷体" w:cs="Times New Roman"/>
          <w:b/>
          <w:bCs/>
          <w:lang w:val="en-US" w:eastAsia="zh-CN"/>
        </w:rPr>
        <w:t>八</w:t>
      </w:r>
      <w:r>
        <w:rPr>
          <w:rFonts w:hint="default" w:ascii="Times New Roman" w:hAnsi="Times New Roman" w:eastAsia="楷体" w:cs="Times New Roman"/>
          <w:b/>
          <w:bCs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</w:rPr>
        <w:t>公示。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lang w:val="en-US" w:eastAsia="zh-CN"/>
        </w:rPr>
        <w:t>旬</w:t>
      </w:r>
      <w:r>
        <w:rPr>
          <w:rFonts w:hint="default" w:ascii="Times New Roman" w:hAnsi="Times New Roman" w:eastAsia="仿宋_GB2312" w:cs="Times New Roman"/>
        </w:rPr>
        <w:t>，</w:t>
      </w:r>
      <w:r>
        <w:rPr>
          <w:rFonts w:hint="default" w:ascii="Times New Roman" w:hAnsi="Times New Roman" w:cs="Times New Roman"/>
          <w:lang w:eastAsia="zh-CN"/>
        </w:rPr>
        <w:t>市委组织部</w:t>
      </w:r>
      <w:r>
        <w:rPr>
          <w:rFonts w:hint="eastAsia" w:ascii="Times New Roman" w:hAnsi="Times New Roman" w:cs="Times New Roman"/>
          <w:lang w:val="en-US" w:eastAsia="zh-CN"/>
        </w:rPr>
        <w:t>对</w:t>
      </w:r>
      <w:r>
        <w:rPr>
          <w:rFonts w:hint="default" w:ascii="Times New Roman" w:hAnsi="Times New Roman" w:cs="Times New Roman"/>
          <w:lang w:eastAsia="zh-CN"/>
        </w:rPr>
        <w:t>确定的拟录用对象</w:t>
      </w:r>
      <w:r>
        <w:rPr>
          <w:rFonts w:hint="default" w:ascii="Times New Roman" w:hAnsi="Times New Roman" w:cs="Times New Roman"/>
        </w:rPr>
        <w:t>在石首市人民政府网、石首先锋等媒体上进行公示，接受社会监督，公示</w:t>
      </w:r>
      <w:r>
        <w:rPr>
          <w:rFonts w:hint="default" w:ascii="Times New Roman" w:hAnsi="Times New Roman" w:cs="Times New Roman"/>
          <w:lang w:eastAsia="zh-CN"/>
        </w:rPr>
        <w:t>期</w:t>
      </w:r>
      <w:r>
        <w:rPr>
          <w:rFonts w:hint="default" w:ascii="Times New Roman" w:hAnsi="Times New Roman" w:cs="Times New Roman"/>
        </w:rPr>
        <w:t>为</w:t>
      </w:r>
      <w:r>
        <w:rPr>
          <w:rFonts w:hint="eastAsia" w:ascii="Times New Roman" w:hAnsi="Times New Roman" w:cs="Times New Roman"/>
          <w:lang w:val="en-US" w:eastAsia="zh-CN"/>
        </w:rPr>
        <w:t>5个工作日</w:t>
      </w:r>
      <w:r>
        <w:rPr>
          <w:rFonts w:hint="default" w:ascii="Times New Roman" w:hAnsi="Times New Roman" w:cs="Times New Roma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公示期间被举报不符合条件或有其它违纪违规行为，并被查证属实的，取消资格，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并不再递补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）培训。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月初，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市委组织部对拟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对象进行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岗前集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中培训。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）跟班试用。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招考的村（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农村社区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“两委”后备干部，在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市委组织部与各乡镇办区党（工）委沟通研究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人员派到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所报考乡镇办区辖区内的</w:t>
      </w:r>
      <w:r>
        <w:rPr>
          <w:rFonts w:hint="eastAsia" w:ascii="仿宋_GB2312" w:hAnsi="仿宋_GB2312" w:eastAsia="仿宋_GB2312" w:cs="仿宋_GB2312"/>
          <w:sz w:val="32"/>
          <w:szCs w:val="32"/>
        </w:rPr>
        <w:t>村（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社区）进行跟班试用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）确定任用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及待遇保障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拟录用的村（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社区）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“两委”后备干部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试用期满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根据个人实绩表现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村级党组织与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乡镇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办区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工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意见，确定是否正式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用为后备干部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拟录用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从跟班试用起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，参照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我市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现任村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农村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社区）副职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干部工资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兑现待遇及落实其他保障。在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农村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“两委”班子时优先考虑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优秀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的后备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干部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疫情防控</w:t>
      </w:r>
      <w:r>
        <w:rPr>
          <w:rFonts w:hint="default" w:ascii="Times New Roman" w:hAnsi="Times New Roman" w:eastAsia="黑体" w:cs="Times New Roman"/>
          <w:sz w:val="32"/>
          <w:szCs w:val="32"/>
        </w:rPr>
        <w:t>要求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考生应当自觉服从考试举办单位的安排，遵守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疫情防控有关规定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，配合做好防疫工作。所有考生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提供考前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小时</w:t>
      </w:r>
      <w:r>
        <w:rPr>
          <w:rFonts w:hint="eastAsia" w:ascii="仿宋_GB2312" w:hAnsi="仿宋_GB2312" w:eastAsia="仿宋_GB2312" w:cs="仿宋_GB2312"/>
          <w:sz w:val="32"/>
          <w:szCs w:val="32"/>
        </w:rPr>
        <w:t>内核酸检测阴性结果报告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和行程卡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，为“绿码”且体温低于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℃者才能进场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考试全程必须佩戴口罩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天有国内疫情中高风险地区或国(境)外旅居史的考生，应主动报告市委组织部组织二股。不服从防疫工作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或出现瞒报信息的情况，将取消考试资格。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/>
          <w:lang w:eastAsia="zh-CN"/>
        </w:rPr>
        <w:t>（一）</w:t>
      </w:r>
      <w:r>
        <w:rPr>
          <w:rFonts w:hint="default" w:ascii="Times New Roman" w:hAnsi="Times New Roman" w:eastAsia="楷体" w:cs="Times New Roman"/>
          <w:b/>
          <w:bCs/>
        </w:rPr>
        <w:t>确保</w:t>
      </w:r>
      <w:r>
        <w:rPr>
          <w:rFonts w:hint="eastAsia" w:ascii="Times New Roman" w:hAnsi="Times New Roman" w:eastAsia="楷体" w:cs="Times New Roman"/>
          <w:b/>
          <w:bCs/>
          <w:lang w:val="en-US" w:eastAsia="zh-CN"/>
        </w:rPr>
        <w:t>通讯</w:t>
      </w:r>
      <w:r>
        <w:rPr>
          <w:rFonts w:hint="default" w:ascii="Times New Roman" w:hAnsi="Times New Roman" w:eastAsia="楷体" w:cs="Times New Roman"/>
          <w:b/>
          <w:bCs/>
        </w:rPr>
        <w:t>畅通。</w:t>
      </w:r>
      <w:r>
        <w:rPr>
          <w:rFonts w:hint="default" w:ascii="Times New Roman" w:hAnsi="Times New Roman" w:cs="Times New Roman"/>
        </w:rPr>
        <w:t>考生在资格审查、面试、考</w:t>
      </w:r>
      <w:r>
        <w:rPr>
          <w:rFonts w:hint="eastAsia" w:ascii="Times New Roman" w:hAnsi="Times New Roman" w:cs="Times New Roman"/>
          <w:lang w:val="en-US" w:eastAsia="zh-CN"/>
        </w:rPr>
        <w:t>察</w:t>
      </w:r>
      <w:r>
        <w:rPr>
          <w:rFonts w:hint="default" w:ascii="Times New Roman" w:hAnsi="Times New Roman" w:cs="Times New Roman"/>
        </w:rPr>
        <w:t>、体检等期间保持通讯畅通，通讯方式变更后，应主动告知市委组织部，避免错失机会。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/>
          <w:lang w:eastAsia="zh-CN"/>
        </w:rPr>
        <w:t>（二）</w:t>
      </w:r>
      <w:r>
        <w:rPr>
          <w:rFonts w:hint="default" w:ascii="Times New Roman" w:hAnsi="Times New Roman" w:eastAsia="楷体" w:cs="Times New Roman"/>
          <w:b/>
          <w:bCs/>
        </w:rPr>
        <w:t>按时</w:t>
      </w:r>
      <w:r>
        <w:rPr>
          <w:rFonts w:hint="default" w:ascii="Times New Roman" w:hAnsi="Times New Roman" w:eastAsia="楷体" w:cs="Times New Roman"/>
          <w:b/>
          <w:bCs/>
          <w:lang w:eastAsia="zh-CN"/>
        </w:rPr>
        <w:t>到岗</w:t>
      </w:r>
      <w:r>
        <w:rPr>
          <w:rFonts w:hint="default" w:ascii="Times New Roman" w:hAnsi="Times New Roman" w:eastAsia="楷体" w:cs="Times New Roman"/>
          <w:b/>
          <w:bCs/>
        </w:rPr>
        <w:t>报到。</w:t>
      </w:r>
      <w:r>
        <w:rPr>
          <w:rFonts w:hint="default" w:ascii="Times New Roman" w:hAnsi="Times New Roman" w:cs="Times New Roman"/>
        </w:rPr>
        <w:t>拟录</w:t>
      </w:r>
      <w:r>
        <w:rPr>
          <w:rFonts w:hint="default" w:ascii="Times New Roman" w:hAnsi="Times New Roman" w:cs="Times New Roman"/>
          <w:lang w:eastAsia="zh-CN"/>
        </w:rPr>
        <w:t>用</w:t>
      </w:r>
      <w:r>
        <w:rPr>
          <w:rFonts w:hint="default" w:ascii="Times New Roman" w:hAnsi="Times New Roman" w:cs="Times New Roman"/>
        </w:rPr>
        <w:t>名单在网上公布后，本人应及时按规定时间报到，如有特殊情况应及时告知。对无故恶意放弃的拟</w:t>
      </w:r>
      <w:r>
        <w:rPr>
          <w:rFonts w:hint="default" w:ascii="Times New Roman" w:hAnsi="Times New Roman" w:cs="Times New Roman"/>
          <w:lang w:eastAsia="zh-CN"/>
        </w:rPr>
        <w:t>录用对象</w:t>
      </w:r>
      <w:r>
        <w:rPr>
          <w:rFonts w:hint="default" w:ascii="Times New Roman" w:hAnsi="Times New Roman" w:cs="Times New Roman"/>
        </w:rPr>
        <w:t>，将建立个人诚信档案，同时不得报考石首市机关事业单位的公开招聘。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/>
          <w:lang w:eastAsia="zh-CN"/>
        </w:rPr>
        <w:t>（三）</w:t>
      </w:r>
      <w:r>
        <w:rPr>
          <w:rFonts w:hint="default" w:ascii="Times New Roman" w:hAnsi="Times New Roman" w:eastAsia="楷体" w:cs="Times New Roman"/>
          <w:b/>
          <w:bCs/>
        </w:rPr>
        <w:t>做好个人和公共防护。</w:t>
      </w:r>
      <w:r>
        <w:rPr>
          <w:rFonts w:hint="default" w:ascii="Times New Roman" w:hAnsi="Times New Roman" w:cs="Times New Roman"/>
        </w:rPr>
        <w:t>在招</w:t>
      </w:r>
      <w:r>
        <w:rPr>
          <w:rFonts w:hint="default" w:ascii="Times New Roman" w:hAnsi="Times New Roman" w:cs="Times New Roman"/>
          <w:lang w:eastAsia="zh-CN"/>
        </w:rPr>
        <w:t>考</w:t>
      </w:r>
      <w:r>
        <w:rPr>
          <w:rFonts w:hint="default" w:ascii="Times New Roman" w:hAnsi="Times New Roman" w:cs="Times New Roman"/>
        </w:rPr>
        <w:t>的各个环节，考生要如实登记并报告个人身体状况，佩戴防护口罩，</w:t>
      </w:r>
      <w:r>
        <w:rPr>
          <w:rFonts w:hint="eastAsia" w:ascii="Times New Roman" w:hAnsi="Times New Roman" w:cs="Times New Roman"/>
          <w:lang w:val="en-US" w:eastAsia="zh-CN"/>
        </w:rPr>
        <w:t>遵守疫情防控规定，</w:t>
      </w:r>
      <w:r>
        <w:rPr>
          <w:rFonts w:hint="default" w:ascii="Times New Roman" w:hAnsi="Times New Roman" w:cs="Times New Roman"/>
        </w:rPr>
        <w:t>积极配合</w:t>
      </w:r>
      <w:r>
        <w:rPr>
          <w:rFonts w:hint="eastAsia" w:ascii="Times New Roman" w:hAnsi="Times New Roman" w:cs="Times New Roman"/>
          <w:lang w:val="en-US" w:eastAsia="zh-CN"/>
        </w:rPr>
        <w:t>招考</w:t>
      </w:r>
      <w:r>
        <w:rPr>
          <w:rFonts w:hint="default" w:ascii="Times New Roman" w:hAnsi="Times New Roman" w:cs="Times New Roman"/>
        </w:rPr>
        <w:t>防疫医护组</w:t>
      </w:r>
      <w:r>
        <w:rPr>
          <w:rFonts w:hint="eastAsia" w:ascii="Times New Roman" w:hAnsi="Times New Roman" w:cs="Times New Roman"/>
          <w:lang w:val="en-US" w:eastAsia="zh-CN"/>
        </w:rPr>
        <w:t>进行</w:t>
      </w:r>
      <w:r>
        <w:rPr>
          <w:rFonts w:hint="default" w:ascii="Times New Roman" w:hAnsi="Times New Roman" w:cs="Times New Roman"/>
        </w:rPr>
        <w:t>体温检测，严格做好个人卫生，严格遵守考场公共卫生和防疫秩序。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lang w:eastAsia="zh-CN"/>
        </w:rPr>
        <w:t>（四）其他事项</w:t>
      </w:r>
      <w:r>
        <w:rPr>
          <w:rFonts w:hint="default" w:ascii="Times New Roman" w:hAnsi="Times New Roman" w:eastAsia="楷体" w:cs="Times New Roman"/>
          <w:b/>
          <w:bCs/>
        </w:rPr>
        <w:t>。</w:t>
      </w:r>
      <w:r>
        <w:rPr>
          <w:rFonts w:hint="default" w:ascii="Times New Roman" w:hAnsi="Times New Roman" w:cs="Times New Roman"/>
        </w:rPr>
        <w:t>因新冠</w:t>
      </w:r>
      <w:r>
        <w:rPr>
          <w:rFonts w:hint="eastAsia" w:ascii="Times New Roman" w:hAnsi="Times New Roman" w:cs="Times New Roman"/>
          <w:lang w:val="en-US" w:eastAsia="zh-CN"/>
        </w:rPr>
        <w:t>肺炎</w:t>
      </w:r>
      <w:r>
        <w:rPr>
          <w:rFonts w:hint="default" w:ascii="Times New Roman" w:hAnsi="Times New Roman" w:cs="Times New Roman"/>
        </w:rPr>
        <w:t>疫情或其他特殊情况需对招</w:t>
      </w:r>
      <w:r>
        <w:rPr>
          <w:rFonts w:hint="default" w:ascii="Times New Roman" w:hAnsi="Times New Roman" w:cs="Times New Roman"/>
          <w:lang w:eastAsia="zh-CN"/>
        </w:rPr>
        <w:t>考</w:t>
      </w:r>
      <w:r>
        <w:rPr>
          <w:rFonts w:hint="default" w:ascii="Times New Roman" w:hAnsi="Times New Roman" w:cs="Times New Roman"/>
        </w:rPr>
        <w:t>工作时间进行调整的，以市委组织部发布的公告为准。未尽事宜由市委组织部负责解释。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报名咨询电话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0716-7819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722（市委组织部组织二股）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监督举报电话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0716-7818989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市委组织部干部监督股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</w:p>
    <w:tbl>
      <w:tblPr>
        <w:tblStyle w:val="3"/>
        <w:tblpPr w:leftFromText="180" w:rightFromText="180" w:vertAnchor="text" w:horzAnchor="page" w:tblpX="1847" w:tblpY="135"/>
        <w:tblOverlap w:val="never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3202"/>
        <w:gridCol w:w="2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石首市乡镇办区组织办联系方式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乡镇办区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大垸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0716-7657216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15507152599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横沟市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0716-7686019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13697311209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新厂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0716-7613990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18223097834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小河口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0716-7692010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18873086882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天鹅洲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0716-7680333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15927912817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桃花山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0716-7807101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13986673733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调关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0716-7885068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13971230351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东升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0716-7187986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13997572955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南口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0716-7872188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15826802515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高陵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0716-7882001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15572103906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团山寺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0716-7605800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13387196607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久合垸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0716-78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13367169698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高基庙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0716-7897105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18045906295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笔办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0716-7283457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15272501265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200" w:right="0" w:rightChars="0" w:hanging="960" w:hangingChars="3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附件：石首市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公开招考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村（农村社区）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两委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后备干部报名登记表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中共石首市委组织部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2022年6月7日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rPr>
          <w:rFonts w:hint="eastAsia" w:ascii="黑体" w:hAnsi="黑体" w:eastAsia="黑体" w:cs="黑体"/>
          <w:w w:val="9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rPr>
          <w:rFonts w:hint="eastAsia" w:ascii="黑体" w:hAnsi="黑体" w:eastAsia="黑体" w:cs="黑体"/>
          <w:w w:val="9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rPr>
          <w:rFonts w:hint="eastAsia" w:ascii="黑体" w:hAnsi="黑体" w:eastAsia="黑体" w:cs="黑体"/>
          <w:w w:val="96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w w:val="96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center"/>
        <w:textAlignment w:val="auto"/>
        <w:rPr>
          <w:rFonts w:hint="eastAsia" w:ascii="方正大标宋简体" w:eastAsia="方正大标宋简体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w w:val="96"/>
          <w:sz w:val="32"/>
          <w:szCs w:val="32"/>
          <w:lang w:eastAsia="zh-CN"/>
        </w:rPr>
        <w:t>石首市</w:t>
      </w:r>
      <w:r>
        <w:rPr>
          <w:rFonts w:hint="default" w:ascii="方正小标宋简体" w:hAnsi="方正小标宋简体" w:eastAsia="方正小标宋简体" w:cs="方正小标宋简体"/>
          <w:w w:val="96"/>
          <w:sz w:val="32"/>
          <w:szCs w:val="32"/>
          <w:lang w:val="en-US" w:eastAsia="zh-CN"/>
        </w:rPr>
        <w:t>公开招考</w:t>
      </w:r>
      <w:r>
        <w:rPr>
          <w:rFonts w:hint="eastAsia" w:ascii="方正小标宋简体" w:hAnsi="方正小标宋简体" w:eastAsia="方正小标宋简体" w:cs="方正小标宋简体"/>
          <w:w w:val="96"/>
          <w:sz w:val="32"/>
          <w:szCs w:val="32"/>
          <w:lang w:val="en-US" w:eastAsia="zh-CN"/>
        </w:rPr>
        <w:t>村（农村社区）</w:t>
      </w:r>
      <w:r>
        <w:rPr>
          <w:rFonts w:hint="default" w:ascii="方正小标宋简体" w:hAnsi="方正小标宋简体" w:eastAsia="方正小标宋简体" w:cs="方正小标宋简体"/>
          <w:w w:val="96"/>
          <w:sz w:val="32"/>
          <w:szCs w:val="32"/>
          <w:lang w:val="en-US" w:eastAsia="zh-CN"/>
        </w:rPr>
        <w:t>“两委”后备干部报名登记表</w:t>
      </w:r>
    </w:p>
    <w:tbl>
      <w:tblPr>
        <w:tblStyle w:val="3"/>
        <w:tblW w:w="94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9"/>
        <w:gridCol w:w="44"/>
        <w:gridCol w:w="1033"/>
        <w:gridCol w:w="55"/>
        <w:gridCol w:w="1170"/>
        <w:gridCol w:w="10"/>
        <w:gridCol w:w="535"/>
        <w:gridCol w:w="600"/>
        <w:gridCol w:w="630"/>
        <w:gridCol w:w="461"/>
        <w:gridCol w:w="634"/>
        <w:gridCol w:w="1395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2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ind w:right="-112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83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spacing w:line="30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17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ind w:left="-106" w:leftChars="-33"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ind w:right="-112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83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173" w:rightChars="-54"/>
              <w:jc w:val="both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right="-173" w:rightChars="-54"/>
              <w:jc w:val="both"/>
              <w:textAlignment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40" w:lineRule="exact"/>
              <w:ind w:right="-112" w:rightChars="-35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pacing w:val="10"/>
                <w:sz w:val="24"/>
              </w:rPr>
              <w:t>身份证</w:t>
            </w:r>
            <w:r>
              <w:rPr>
                <w:rFonts w:hint="eastAsia"/>
                <w:spacing w:val="10"/>
                <w:sz w:val="24"/>
                <w:lang w:eastAsia="zh-CN"/>
              </w:rPr>
              <w:t>号码</w:t>
            </w:r>
          </w:p>
        </w:tc>
        <w:tc>
          <w:tcPr>
            <w:tcW w:w="4077" w:type="dxa"/>
            <w:gridSpan w:val="8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160" w:lineRule="atLeast"/>
              <w:ind w:right="-173" w:rightChars="-54"/>
              <w:jc w:val="both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联系方式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0" w:hRule="exac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480" w:lineRule="exact"/>
              <w:ind w:right="-112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112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9" w:hRule="exac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7" w:hRule="exact"/>
          <w:jc w:val="center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ind w:right="-243" w:rightChars="-76"/>
              <w:jc w:val="center"/>
              <w:textAlignment w:val="center"/>
              <w:rPr>
                <w:rFonts w:hint="default" w:eastAsia="宋体"/>
                <w:spacing w:val="10"/>
                <w:sz w:val="24"/>
                <w:lang w:val="en-US" w:eastAsia="zh-CN"/>
              </w:rPr>
            </w:pPr>
            <w:r>
              <w:rPr>
                <w:rFonts w:hint="eastAsia"/>
                <w:spacing w:val="10"/>
                <w:sz w:val="24"/>
                <w:lang w:val="en-US" w:eastAsia="zh-CN"/>
              </w:rPr>
              <w:t>报 考 乡 镇</w:t>
            </w:r>
          </w:p>
        </w:tc>
        <w:tc>
          <w:tcPr>
            <w:tcW w:w="7236" w:type="dxa"/>
            <w:gridSpan w:val="10"/>
            <w:noWrap w:val="0"/>
            <w:vAlign w:val="center"/>
          </w:tcPr>
          <w:p>
            <w:pPr>
              <w:spacing w:line="36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23" w:hRule="atLeast"/>
          <w:jc w:val="center"/>
        </w:trPr>
        <w:tc>
          <w:tcPr>
            <w:tcW w:w="1163" w:type="dxa"/>
            <w:gridSpan w:val="2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ind w:right="-77" w:rightChars="-24"/>
              <w:jc w:val="both"/>
              <w:textAlignment w:val="center"/>
              <w:rPr>
                <w:sz w:val="24"/>
              </w:rPr>
            </w:pPr>
          </w:p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269" w:type="dxa"/>
            <w:gridSpan w:val="11"/>
            <w:noWrap w:val="0"/>
            <w:vAlign w:val="top"/>
          </w:tcPr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4" w:hRule="atLeast"/>
          <w:jc w:val="center"/>
        </w:trPr>
        <w:tc>
          <w:tcPr>
            <w:tcW w:w="116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直系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亲属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主要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关系</w:t>
            </w:r>
          </w:p>
          <w:p>
            <w:pPr>
              <w:spacing w:line="300" w:lineRule="exact"/>
              <w:ind w:right="-77" w:rightChars="-24"/>
              <w:jc w:val="both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8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128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4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70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09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64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64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7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128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left="-64" w:leftChars="-20"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05" w:hRule="atLeast"/>
          <w:jc w:val="center"/>
        </w:trPr>
        <w:tc>
          <w:tcPr>
            <w:tcW w:w="116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77" w:rightChars="-24"/>
              <w:jc w:val="center"/>
              <w:textAlignment w:val="center"/>
              <w:rPr>
                <w:rFonts w:hint="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乡镇</w:t>
            </w:r>
          </w:p>
          <w:p>
            <w:pPr>
              <w:spacing w:line="440" w:lineRule="exact"/>
              <w:ind w:right="-77" w:rightChars="-24"/>
              <w:jc w:val="center"/>
              <w:textAlignment w:val="center"/>
              <w:rPr>
                <w:rFonts w:hint="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办区</w:t>
            </w:r>
          </w:p>
          <w:p>
            <w:pPr>
              <w:spacing w:line="440" w:lineRule="exact"/>
              <w:ind w:right="-77" w:rightChars="-24"/>
              <w:jc w:val="center"/>
              <w:textAlignment w:val="center"/>
              <w:rPr>
                <w:rFonts w:hint="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党（工）委审查</w:t>
            </w:r>
          </w:p>
          <w:p>
            <w:pPr>
              <w:spacing w:line="440" w:lineRule="exact"/>
              <w:ind w:right="-77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意见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69" w:type="dxa"/>
            <w:gridSpan w:val="11"/>
            <w:noWrap w:val="0"/>
            <w:vAlign w:val="center"/>
          </w:tcPr>
          <w:p>
            <w:pPr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   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spacing w:line="560" w:lineRule="exact"/>
        <w:ind w:right="-387" w:rightChars="-121"/>
        <w:jc w:val="left"/>
        <w:rPr>
          <w:rFonts w:hint="default" w:ascii="Times New Roman" w:hAnsi="Times New Roman" w:cs="Times New Roman"/>
        </w:rPr>
      </w:pPr>
      <w:r>
        <w:rPr>
          <w:rFonts w:hint="eastAsia"/>
          <w:sz w:val="24"/>
        </w:rPr>
        <w:t>本人签名：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OTY3YjViYzkwMDM1N2YxNjhmNmY2ZGVhNWMzNTEifQ=="/>
  </w:docVars>
  <w:rsids>
    <w:rsidRoot w:val="15FB029B"/>
    <w:rsid w:val="00F35B05"/>
    <w:rsid w:val="018E17DD"/>
    <w:rsid w:val="0633122C"/>
    <w:rsid w:val="099A2D91"/>
    <w:rsid w:val="0D044712"/>
    <w:rsid w:val="0E8173CC"/>
    <w:rsid w:val="0F714375"/>
    <w:rsid w:val="15FB029B"/>
    <w:rsid w:val="17360672"/>
    <w:rsid w:val="1C3754AA"/>
    <w:rsid w:val="1C456EC8"/>
    <w:rsid w:val="1CFD2022"/>
    <w:rsid w:val="1E8B503B"/>
    <w:rsid w:val="1F006246"/>
    <w:rsid w:val="1FE452FE"/>
    <w:rsid w:val="20656A45"/>
    <w:rsid w:val="21B952A1"/>
    <w:rsid w:val="242C383B"/>
    <w:rsid w:val="2C0F1A42"/>
    <w:rsid w:val="2E032411"/>
    <w:rsid w:val="3D604762"/>
    <w:rsid w:val="3DC407C7"/>
    <w:rsid w:val="42735F36"/>
    <w:rsid w:val="464675D1"/>
    <w:rsid w:val="47EC4EBA"/>
    <w:rsid w:val="49A01636"/>
    <w:rsid w:val="4AE73271"/>
    <w:rsid w:val="4AEF520A"/>
    <w:rsid w:val="4DBE2281"/>
    <w:rsid w:val="4DD8432B"/>
    <w:rsid w:val="4E9E6927"/>
    <w:rsid w:val="4FEE60C9"/>
    <w:rsid w:val="514D5363"/>
    <w:rsid w:val="5BF827CA"/>
    <w:rsid w:val="5D0324DB"/>
    <w:rsid w:val="5F7D5743"/>
    <w:rsid w:val="613B7003"/>
    <w:rsid w:val="6324615B"/>
    <w:rsid w:val="6408262C"/>
    <w:rsid w:val="64982FFD"/>
    <w:rsid w:val="651E2E1D"/>
    <w:rsid w:val="6A7C60DA"/>
    <w:rsid w:val="6A8F414A"/>
    <w:rsid w:val="6F28499A"/>
    <w:rsid w:val="70522C6C"/>
    <w:rsid w:val="72097F1A"/>
    <w:rsid w:val="737850B4"/>
    <w:rsid w:val="76565148"/>
    <w:rsid w:val="76C434F8"/>
    <w:rsid w:val="76F54442"/>
    <w:rsid w:val="7A505416"/>
    <w:rsid w:val="7E1C0761"/>
    <w:rsid w:val="7EC0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2975</Words>
  <Characters>3342</Characters>
  <Lines>0</Lines>
  <Paragraphs>0</Paragraphs>
  <TotalTime>21</TotalTime>
  <ScaleCrop>false</ScaleCrop>
  <LinksUpToDate>false</LinksUpToDate>
  <CharactersWithSpaces>3381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2022-04-29T02:56:00Z</dcterms:created>
  <dc:creator>涂珍</dc:creator>
  <cp:lastModifiedBy>Leon</cp:lastModifiedBy>
  <cp:lastPrinted>2022-06-06T02:28:00Z</cp:lastPrinted>
  <dcterms:modified xsi:type="dcterms:W3CDTF">2022-06-06T09:54:08Z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EE7CDB53591244129060BC0A5CE2B096</vt:lpwstr>
  </property>
</Properties>
</file>