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国家能源局东北监管局2022年考试录用公务员面试安排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报考综合处、电力安全监管处的考生进行面试。请考生于当日8:25前到指定地点报到，并于开考前30分钟进入候考室封闭。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联系电话：024-23148971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50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2022-06-08T03:38:57Z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FD5CBD306F8C4F9E94FCB786F92737F1</vt:lpwstr>
  </property>
</Properties>
</file>