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bidi w:val="0"/>
        <w:adjustRightInd/>
        <w:spacing w:line="570" w:lineRule="exact"/>
        <w:rPr>
          <w:rFonts w:hint="eastAsia" w:ascii="仿宋_GB2312" w:hAnsi="仿宋_GB2312" w:eastAsia="仿宋_GB2312" w:cs="仿宋_GB2312"/>
          <w:bCs/>
          <w:i w:val="0"/>
          <w:iCs w:val="0"/>
          <w:w w:val="96"/>
          <w:sz w:val="28"/>
          <w:szCs w:val="28"/>
          <w:highlight w:val="none"/>
          <w:lang w:val="en-US" w:eastAsia="zh-CN"/>
        </w:rPr>
      </w:pPr>
      <w:bookmarkStart w:id="0" w:name="_GoBack"/>
      <w:bookmarkEnd w:id="0"/>
      <w:r>
        <w:rPr>
          <w:rFonts w:hint="eastAsia" w:ascii="仿宋_GB2312" w:hAnsi="仿宋_GB2312" w:eastAsia="仿宋_GB2312" w:cs="仿宋_GB2312"/>
          <w:bCs/>
          <w:i w:val="0"/>
          <w:iCs w:val="0"/>
          <w:w w:val="96"/>
          <w:sz w:val="28"/>
          <w:szCs w:val="28"/>
          <w:highlight w:val="none"/>
        </w:rPr>
        <w:t>附件</w:t>
      </w:r>
      <w:r>
        <w:rPr>
          <w:rFonts w:hint="eastAsia" w:ascii="仿宋_GB2312" w:hAnsi="仿宋_GB2312" w:eastAsia="仿宋_GB2312" w:cs="仿宋_GB2312"/>
          <w:bCs/>
          <w:i w:val="0"/>
          <w:iCs w:val="0"/>
          <w:w w:val="96"/>
          <w:sz w:val="28"/>
          <w:szCs w:val="28"/>
          <w:highlight w:val="none"/>
          <w:lang w:val="en-US" w:eastAsia="zh-CN"/>
        </w:rPr>
        <w:t>2</w:t>
      </w:r>
    </w:p>
    <w:p>
      <w:pPr>
        <w:keepNext w:val="0"/>
        <w:keepLines w:val="0"/>
        <w:pageBreakBefore w:val="0"/>
        <w:kinsoku/>
        <w:overflowPunct/>
        <w:topLinePunct w:val="0"/>
        <w:autoSpaceDE/>
        <w:bidi w:val="0"/>
        <w:adjustRightInd/>
        <w:spacing w:line="570" w:lineRule="exact"/>
        <w:rPr>
          <w:rFonts w:hint="eastAsia" w:ascii="仿宋_GB2312" w:hAnsi="仿宋_GB2312" w:eastAsia="仿宋_GB2312" w:cs="仿宋_GB2312"/>
          <w:bCs/>
          <w:i w:val="0"/>
          <w:iCs w:val="0"/>
          <w:w w:val="96"/>
          <w:sz w:val="28"/>
          <w:szCs w:val="28"/>
          <w:highlight w:val="none"/>
          <w:lang w:val="en-US" w:eastAsia="zh-CN"/>
        </w:rPr>
      </w:pPr>
    </w:p>
    <w:p>
      <w:pPr>
        <w:keepNext w:val="0"/>
        <w:keepLines w:val="0"/>
        <w:pageBreakBefore w:val="0"/>
        <w:kinsoku/>
        <w:overflowPunct/>
        <w:topLinePunct w:val="0"/>
        <w:autoSpaceDE/>
        <w:bidi w:val="0"/>
        <w:adjustRightInd/>
        <w:spacing w:line="570" w:lineRule="exact"/>
        <w:jc w:val="center"/>
        <w:rPr>
          <w:rFonts w:hint="eastAsia" w:ascii="方正小标宋简体" w:hAnsi="新宋体" w:eastAsia="方正小标宋简体" w:cs="Times New Roman"/>
          <w:bCs/>
          <w:spacing w:val="-20"/>
          <w:w w:val="100"/>
          <w:sz w:val="44"/>
          <w:szCs w:val="44"/>
          <w:highlight w:val="none"/>
        </w:rPr>
      </w:pPr>
      <w:r>
        <w:rPr>
          <w:rFonts w:hint="eastAsia" w:ascii="方正小标宋简体" w:hAnsi="新宋体" w:eastAsia="方正小标宋简体" w:cs="Times New Roman"/>
          <w:bCs/>
          <w:spacing w:val="-20"/>
          <w:w w:val="100"/>
          <w:sz w:val="44"/>
          <w:szCs w:val="44"/>
          <w:highlight w:val="none"/>
        </w:rPr>
        <w:t>贵州省2022年人事考试新冠肺炎疫情防控要求</w:t>
      </w:r>
    </w:p>
    <w:p>
      <w:pPr>
        <w:keepNext w:val="0"/>
        <w:keepLines w:val="0"/>
        <w:pageBreakBefore w:val="0"/>
        <w:kinsoku/>
        <w:overflowPunct/>
        <w:topLinePunct w:val="0"/>
        <w:autoSpaceDE/>
        <w:bidi w:val="0"/>
        <w:adjustRightInd/>
        <w:spacing w:line="570" w:lineRule="exact"/>
        <w:jc w:val="center"/>
        <w:rPr>
          <w:rFonts w:hint="eastAsia" w:ascii="方正小标宋简体" w:hAnsi="新宋体" w:eastAsia="方正小标宋简体" w:cs="Times New Roman"/>
          <w:bCs/>
          <w:spacing w:val="-20"/>
          <w:w w:val="100"/>
          <w:sz w:val="44"/>
          <w:szCs w:val="44"/>
          <w:highlight w:val="none"/>
        </w:rPr>
      </w:pPr>
      <w:r>
        <w:rPr>
          <w:rFonts w:hint="eastAsia" w:ascii="方正小标宋简体" w:hAnsi="新宋体" w:eastAsia="方正小标宋简体" w:cs="Times New Roman"/>
          <w:bCs/>
          <w:spacing w:val="-20"/>
          <w:w w:val="100"/>
          <w:sz w:val="44"/>
          <w:szCs w:val="44"/>
          <w:highlight w:val="none"/>
        </w:rPr>
        <w:t>（第二版）</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w w:val="100"/>
          <w:sz w:val="32"/>
          <w:szCs w:val="32"/>
          <w:highlight w:val="none"/>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凡报名参加由贵州省人力资源和社会保障厅考试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overflowPunct/>
        <w:topLinePunct w:val="0"/>
        <w:autoSpaceDE/>
        <w:autoSpaceDN/>
        <w:bidi w:val="0"/>
        <w:adjustRightInd/>
        <w:spacing w:line="530" w:lineRule="exact"/>
        <w:ind w:firstLine="736" w:firstLineChars="230"/>
        <w:textAlignment w:val="baseline"/>
        <w:rPr>
          <w:rFonts w:hint="eastAsia" w:ascii="黑体" w:hAnsi="黑体" w:eastAsia="黑体" w:cs="仿宋_GB2312"/>
          <w:w w:val="100"/>
          <w:sz w:val="32"/>
          <w:szCs w:val="32"/>
          <w:highlight w:val="none"/>
        </w:rPr>
      </w:pPr>
      <w:r>
        <w:rPr>
          <w:rFonts w:hint="eastAsia" w:ascii="黑体" w:hAnsi="黑体" w:eastAsia="黑体" w:cs="仿宋_GB2312"/>
          <w:w w:val="100"/>
          <w:sz w:val="32"/>
          <w:szCs w:val="32"/>
          <w:highlight w:val="none"/>
        </w:rPr>
        <w:t>一、疫情防控要求</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根据贵州省最新疫情防控规定，对参加贵州省各项人事考试的考生防疫要求如下：</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（一）不符合国家、省有关疫情防控要求，不遵守有关疫情防控规定的人员不得进入考点参加考试。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（二）处于康复或隔离期的病例、无症状感染者不得进入考点参加考试。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（三）疑似病例、确诊病例以及无症状感染者的密切接触者不得进入考点参加考试。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（四）处于集中隔离、居家健康监测期间的人员不得进入考点参加考试。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（五）对流动、出行须报备并提供相应证明材料的人员，未按要求报备或未按要求提供相应证明材料的不得进入考点参加考试。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（七）考前14天内有中高风险地区旅居史的考生，不得进入考点参加考试。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（八）考前14天内与本土阳性病例（尚未划定风险等级）活动轨迹有交集人员，不得进入考点参加考试。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其余所有考生均须提供考前48小时内的1次核酸检测阴性证明，方可进入考点参加考试。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在连续两天举行的我省人事考试中，考生提供第1天考试时符合规定的核酸检测阴性证明即可。</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（十）原则上所有考生均须按照“应接尽接、应接必接”的要求完成新冠疫苗全程接种及加强免疫。</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（十一）考生应自备一次性使用医用口罩。考试期间，除核验身份时，考生应全程规范佩戴一次性使用医用口罩。未按要求佩戴口罩的考生，不得进入考点参加考试。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十二）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十五）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贵州健康码使用和贵州省疫情防控咨询电话：0851-12345。</w:t>
      </w:r>
    </w:p>
    <w:p>
      <w:pPr>
        <w:keepNext w:val="0"/>
        <w:keepLines w:val="0"/>
        <w:pageBreakBefore w:val="0"/>
        <w:widowControl w:val="0"/>
        <w:kinsoku/>
        <w:overflowPunct/>
        <w:topLinePunct w:val="0"/>
        <w:autoSpaceDE/>
        <w:autoSpaceDN/>
        <w:bidi w:val="0"/>
        <w:adjustRightInd/>
        <w:spacing w:line="530" w:lineRule="exact"/>
        <w:ind w:firstLine="736" w:firstLineChars="230"/>
        <w:textAlignment w:val="baseline"/>
        <w:rPr>
          <w:rFonts w:hint="eastAsia" w:ascii="黑体" w:hAnsi="黑体" w:eastAsia="黑体" w:cs="仿宋_GB2312"/>
          <w:w w:val="100"/>
          <w:sz w:val="32"/>
          <w:szCs w:val="32"/>
          <w:highlight w:val="none"/>
        </w:rPr>
      </w:pPr>
      <w:r>
        <w:rPr>
          <w:rFonts w:hint="eastAsia" w:ascii="黑体" w:hAnsi="黑体" w:eastAsia="黑体" w:cs="仿宋_GB2312"/>
          <w:w w:val="100"/>
          <w:sz w:val="32"/>
          <w:szCs w:val="32"/>
          <w:highlight w:val="none"/>
        </w:rPr>
        <w:t>二、入场检测规定</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入场检测时，考生须同时符合以下全部要求，方可进入考点参加考试：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（一）本人“贵州健康码、国家通信行程卡”绿码；</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（二）经检测体温正常（低于37.3℃）；</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（三）佩戴一次性使用医用口罩；</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（四）提供相应的核酸检测阴性证明纸质版：</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1.考前14天内有“本土阳性病例报告地级市（直辖市为区）”旅居史人员，须提供抵黔后5日内的3次核酸检测阴性证明和考前48小时内的1次核酸检测阴性证明。</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2.其余所有考生均须提供考前48小时内的1次核酸检测阴性证明。</w:t>
      </w:r>
    </w:p>
    <w:p>
      <w:pPr>
        <w:keepNext w:val="0"/>
        <w:keepLines w:val="0"/>
        <w:pageBreakBefore w:val="0"/>
        <w:widowControl w:val="0"/>
        <w:kinsoku/>
        <w:overflowPunct/>
        <w:topLinePunct w:val="0"/>
        <w:autoSpaceDE/>
        <w:autoSpaceDN/>
        <w:bidi w:val="0"/>
        <w:adjustRightInd/>
        <w:spacing w:line="530" w:lineRule="exact"/>
        <w:ind w:firstLine="736" w:firstLineChars="230"/>
        <w:textAlignment w:val="baseline"/>
        <w:rPr>
          <w:rFonts w:hint="eastAsia" w:ascii="黑体" w:hAnsi="黑体" w:eastAsia="黑体" w:cs="仿宋_GB2312"/>
          <w:w w:val="100"/>
          <w:sz w:val="32"/>
          <w:szCs w:val="32"/>
          <w:highlight w:val="none"/>
        </w:rPr>
      </w:pPr>
      <w:r>
        <w:rPr>
          <w:rFonts w:hint="eastAsia" w:ascii="黑体" w:hAnsi="黑体" w:eastAsia="黑体" w:cs="仿宋_GB2312"/>
          <w:w w:val="100"/>
          <w:sz w:val="32"/>
          <w:szCs w:val="32"/>
          <w:highlight w:val="none"/>
        </w:rPr>
        <w:t>三、入场检测步骤</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考生须佩戴一次性使用医用口罩提前到达检测点排队，入场检测通道分别设置特殊检测通道和常规检测通道两类。</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（一）特殊检测通道</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考前14天内有“本土阳性病例报告地级市（直辖市为区）”旅居史人员进入特殊检测通道。具体检测步骤如下：</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（二）常规检测通道</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考前14天内无“本土阳性病例报告地级市（直辖市为区）”旅居史人员进入常规检测通道，常规检测通道分两步进行检测，具体检测步骤如下：</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1.第一步检测</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考生须提前准备好考试当天本人“贵州健康码绿码”和《准考证》报检测人员核验并接受体温检测。</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经第一步检测合格的，迅速前往第二步检测点。</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2.第二步检测</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经第二步检测合格的，检测人员在《准考证》上加盖入场检测合格章。</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（三）临时隔离检查点</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overflowPunct/>
        <w:topLinePunct w:val="0"/>
        <w:autoSpaceDE/>
        <w:autoSpaceDN/>
        <w:bidi w:val="0"/>
        <w:adjustRightInd/>
        <w:spacing w:line="530" w:lineRule="exact"/>
        <w:ind w:firstLine="736" w:firstLineChars="230"/>
        <w:textAlignment w:val="baseline"/>
        <w:rPr>
          <w:rFonts w:hint="eastAsia" w:ascii="黑体" w:hAnsi="黑体" w:eastAsia="黑体" w:cs="仿宋_GB2312"/>
          <w:w w:val="100"/>
          <w:sz w:val="32"/>
          <w:szCs w:val="32"/>
          <w:highlight w:val="none"/>
        </w:rPr>
      </w:pPr>
      <w:r>
        <w:rPr>
          <w:rFonts w:hint="eastAsia" w:ascii="黑体" w:hAnsi="黑体" w:eastAsia="黑体" w:cs="仿宋_GB2312"/>
          <w:w w:val="100"/>
          <w:sz w:val="32"/>
          <w:szCs w:val="32"/>
          <w:highlight w:val="none"/>
        </w:rPr>
        <w:t>四、</w:t>
      </w:r>
      <w:r>
        <w:rPr>
          <w:rFonts w:hint="eastAsia" w:ascii="仿宋_GB2312" w:hAnsi="仿宋_GB2312" w:eastAsia="仿宋_GB2312" w:cs="仿宋_GB2312"/>
          <w:w w:val="100"/>
          <w:sz w:val="32"/>
          <w:szCs w:val="32"/>
          <w:highlight w:val="none"/>
        </w:rPr>
        <w:t>《贵州省2022年人事考试新冠肺炎疫情防控要求（第一版）》停止使用。</w:t>
      </w:r>
    </w:p>
    <w:p>
      <w:pPr>
        <w:keepNext w:val="0"/>
        <w:keepLines w:val="0"/>
        <w:pageBreakBefore w:val="0"/>
        <w:widowControl w:val="0"/>
        <w:kinsoku/>
        <w:overflowPunct/>
        <w:topLinePunct w:val="0"/>
        <w:autoSpaceDE/>
        <w:autoSpaceDN/>
        <w:bidi w:val="0"/>
        <w:adjustRightInd/>
        <w:spacing w:line="530" w:lineRule="exact"/>
        <w:ind w:firstLine="736" w:firstLineChars="230"/>
        <w:textAlignment w:val="baseline"/>
        <w:rPr>
          <w:rFonts w:hint="eastAsia" w:ascii="黑体" w:hAnsi="黑体" w:eastAsia="黑体" w:cs="仿宋_GB2312"/>
          <w:w w:val="100"/>
          <w:sz w:val="32"/>
          <w:szCs w:val="32"/>
          <w:highlight w:val="none"/>
        </w:rPr>
      </w:pPr>
      <w:r>
        <w:rPr>
          <w:rFonts w:hint="eastAsia" w:ascii="黑体" w:hAnsi="黑体" w:eastAsia="黑体" w:cs="仿宋_GB2312"/>
          <w:w w:val="100"/>
          <w:sz w:val="32"/>
          <w:szCs w:val="32"/>
          <w:highlight w:val="none"/>
        </w:rPr>
        <w:t>五、</w:t>
      </w:r>
      <w:r>
        <w:rPr>
          <w:rFonts w:hint="eastAsia" w:ascii="仿宋_GB2312" w:hAnsi="仿宋_GB2312" w:eastAsia="仿宋_GB2312" w:cs="仿宋_GB2312"/>
          <w:w w:val="100"/>
          <w:sz w:val="32"/>
          <w:szCs w:val="32"/>
          <w:highlight w:val="none"/>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overflowPunct/>
        <w:topLinePunct w:val="0"/>
        <w:autoSpaceDE/>
        <w:autoSpaceDN/>
        <w:bidi w:val="0"/>
        <w:adjustRightInd/>
        <w:spacing w:line="530" w:lineRule="exact"/>
        <w:ind w:firstLine="620" w:firstLineChars="200"/>
        <w:textAlignment w:val="baseline"/>
        <w:rPr>
          <w:rFonts w:hint="eastAsia" w:ascii="仿宋_GB2312" w:hAnsi="仿宋_GB2312" w:eastAsia="仿宋_GB2312" w:cs="仿宋_GB2312"/>
          <w:w w:val="100"/>
          <w:sz w:val="32"/>
          <w:szCs w:val="32"/>
          <w:highlight w:val="none"/>
        </w:rPr>
      </w:pPr>
      <w:r>
        <w:rPr>
          <w:rFonts w:hint="eastAsia" w:ascii="仿宋_GB2312" w:hAnsi="Helvetica" w:eastAsia="仿宋_GB2312" w:cs="仿宋_GB2312"/>
          <w:i w:val="0"/>
          <w:iCs w:val="0"/>
          <w:caps w:val="0"/>
          <w:color w:val="333333"/>
          <w:spacing w:val="0"/>
          <w:sz w:val="31"/>
          <w:szCs w:val="31"/>
          <w:highlight w:val="none"/>
        </w:rPr>
        <w:br w:type="textWrapping"/>
      </w:r>
      <w:r>
        <w:rPr>
          <w:rFonts w:hint="eastAsia" w:ascii="仿宋_GB2312" w:hAnsi="仿宋_GB2312" w:eastAsia="仿宋_GB2312" w:cs="仿宋_GB2312"/>
          <w:w w:val="100"/>
          <w:sz w:val="32"/>
          <w:szCs w:val="32"/>
          <w:highlight w:val="none"/>
        </w:rPr>
        <w:t xml:space="preserve">  </w:t>
      </w:r>
    </w:p>
    <w:p>
      <w:pPr>
        <w:keepNext w:val="0"/>
        <w:keepLines w:val="0"/>
        <w:pageBreakBefore w:val="0"/>
        <w:widowControl w:val="0"/>
        <w:kinsoku/>
        <w:overflowPunct/>
        <w:topLinePunct w:val="0"/>
        <w:autoSpaceDE/>
        <w:autoSpaceDN/>
        <w:bidi w:val="0"/>
        <w:adjustRightInd/>
        <w:spacing w:line="550" w:lineRule="exact"/>
        <w:textAlignment w:val="baseline"/>
        <w:rPr>
          <w:rFonts w:hint="eastAsia" w:ascii="仿宋_GB2312" w:hAnsi="仿宋_GB2312" w:eastAsia="仿宋_GB2312" w:cs="仿宋_GB2312"/>
          <w:w w:val="100"/>
          <w:sz w:val="32"/>
          <w:szCs w:val="32"/>
          <w:highlight w:val="none"/>
        </w:rPr>
      </w:pPr>
    </w:p>
    <w:sectPr>
      <w:headerReference r:id="rId3" w:type="default"/>
      <w:footerReference r:id="rId4" w:type="default"/>
      <w:footerReference r:id="rId5" w:type="even"/>
      <w:pgSz w:w="11906" w:h="16838"/>
      <w:pgMar w:top="2211" w:right="1531" w:bottom="1871" w:left="1531" w:header="851" w:footer="992" w:gutter="0"/>
      <w:pgNumType w:fmt="numberInDash" w:start="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6"/>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6"/>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6"/>
                              <w:rFonts w:hint="eastAsia" w:ascii="仿宋_GB2312" w:hAnsi="仿宋_GB2312" w:eastAsia="仿宋_GB2312" w:cs="仿宋_GB2312"/>
                              <w:sz w:val="28"/>
                              <w:szCs w:val="28"/>
                            </w:rPr>
                            <w:t>- 5 -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2"/>
                      <w:rPr>
                        <w:rStyle w:val="6"/>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6"/>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6"/>
                        <w:rFonts w:hint="eastAsia" w:ascii="仿宋_GB2312" w:hAnsi="仿宋_GB2312" w:eastAsia="仿宋_GB2312" w:cs="仿宋_GB2312"/>
                        <w:sz w:val="28"/>
                        <w:szCs w:val="28"/>
                      </w:rPr>
                      <w:t>- 5 -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- 0 -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D4508"/>
    <w:rsid w:val="25AD4508"/>
    <w:rsid w:val="5ECB0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2022-05-11T07:53:00Z</dcterms:created>
  <dc:creator>Administrator</dc:creator>
  <cp:lastModifiedBy>Administrator</cp:lastModifiedBy>
  <dcterms:modified xsi:type="dcterms:W3CDTF">2022-06-06T01:49:19Z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