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textAlignment w:val="auto"/>
        <w:rPr>
          <w:rFonts w:hint="eastAsia" w:ascii="黑体" w:eastAsia="黑体" w:cs="黑体"/>
          <w:color w:val="auto"/>
          <w:w w:val="85"/>
          <w:kern w:val="0"/>
          <w:sz w:val="32"/>
          <w:szCs w:val="32"/>
        </w:rPr>
      </w:pPr>
      <w:bookmarkStart w:id="0" w:name="_Toc6286_WPSOffice_Level1"/>
      <w:r>
        <w:rPr>
          <w:rFonts w:hint="eastAsia" w:ascii="黑体" w:eastAsia="黑体" w:cs="黑体"/>
          <w:color w:val="auto"/>
          <w:w w:val="85"/>
          <w:kern w:val="0"/>
          <w:sz w:val="32"/>
          <w:szCs w:val="32"/>
        </w:rPr>
        <w:t>附件1：</w:t>
      </w:r>
    </w:p>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ascii="宋体" w:cs="宋体"/>
          <w:b/>
          <w:color w:val="auto"/>
          <w:w w:val="85"/>
          <w:kern w:val="0"/>
          <w:sz w:val="44"/>
          <w:szCs w:val="44"/>
        </w:rPr>
      </w:pPr>
      <w:r>
        <w:rPr>
          <w:rFonts w:hint="eastAsia" w:ascii="宋体" w:cs="宋体"/>
          <w:b/>
          <w:color w:val="auto"/>
          <w:w w:val="85"/>
          <w:kern w:val="0"/>
          <w:sz w:val="44"/>
          <w:szCs w:val="44"/>
        </w:rPr>
        <w:t>厦门市</w:t>
      </w:r>
      <w:r>
        <w:rPr>
          <w:rFonts w:hint="eastAsia" w:ascii="宋体" w:cs="宋体"/>
          <w:b/>
          <w:color w:val="auto"/>
          <w:w w:val="85"/>
          <w:kern w:val="0"/>
          <w:sz w:val="44"/>
          <w:szCs w:val="44"/>
          <w:lang w:val="en-US" w:eastAsia="zh-CN"/>
        </w:rPr>
        <w:t>湖里区</w:t>
      </w:r>
      <w:r>
        <w:rPr>
          <w:rFonts w:hint="eastAsia" w:ascii="宋体" w:cs="宋体"/>
          <w:b/>
          <w:color w:val="auto"/>
          <w:w w:val="85"/>
          <w:kern w:val="0"/>
          <w:sz w:val="44"/>
          <w:szCs w:val="44"/>
        </w:rPr>
        <w:t>所属卫生事业单位</w:t>
      </w:r>
      <w:r>
        <w:rPr>
          <w:rFonts w:hint="eastAsia" w:ascii="宋体" w:cs="宋体"/>
          <w:b/>
          <w:color w:val="auto"/>
          <w:w w:val="85"/>
          <w:kern w:val="0"/>
          <w:sz w:val="44"/>
          <w:szCs w:val="44"/>
          <w:lang w:val="en-US" w:eastAsia="zh-CN"/>
        </w:rPr>
        <w:t>招聘</w:t>
      </w:r>
      <w:r>
        <w:rPr>
          <w:rFonts w:hint="eastAsia" w:ascii="宋体" w:cs="宋体"/>
          <w:b/>
          <w:color w:val="auto"/>
          <w:w w:val="85"/>
          <w:kern w:val="0"/>
          <w:sz w:val="44"/>
          <w:szCs w:val="44"/>
        </w:rPr>
        <w:t>编内</w:t>
      </w:r>
    </w:p>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ascii="宋体" w:cs="宋体"/>
          <w:b/>
          <w:color w:val="auto"/>
          <w:w w:val="85"/>
          <w:kern w:val="0"/>
          <w:sz w:val="44"/>
          <w:szCs w:val="44"/>
        </w:rPr>
      </w:pPr>
      <w:r>
        <w:rPr>
          <w:rFonts w:hint="eastAsia" w:ascii="宋体" w:cs="宋体"/>
          <w:b/>
          <w:color w:val="auto"/>
          <w:w w:val="85"/>
          <w:kern w:val="0"/>
          <w:sz w:val="44"/>
          <w:szCs w:val="44"/>
        </w:rPr>
        <w:t>工作人员报考</w:t>
      </w:r>
      <w:r>
        <w:rPr>
          <w:rFonts w:hint="eastAsia" w:ascii="宋体" w:cs="宋体"/>
          <w:b/>
          <w:color w:val="auto"/>
          <w:w w:val="85"/>
          <w:kern w:val="0"/>
          <w:sz w:val="44"/>
          <w:szCs w:val="44"/>
          <w:lang w:val="en-US" w:eastAsia="zh-CN"/>
        </w:rPr>
        <w:t>须知</w:t>
      </w:r>
      <w:r>
        <w:rPr>
          <w:rFonts w:hint="eastAsia" w:ascii="宋体" w:cs="宋体"/>
          <w:b/>
          <w:color w:val="auto"/>
          <w:w w:val="85"/>
          <w:kern w:val="0"/>
          <w:sz w:val="44"/>
          <w:szCs w:val="44"/>
        </w:rPr>
        <w:t>（</w:t>
      </w:r>
      <w:r>
        <w:rPr>
          <w:rFonts w:ascii="宋体" w:cs="宋体"/>
          <w:b/>
          <w:color w:val="auto"/>
          <w:w w:val="85"/>
          <w:kern w:val="0"/>
          <w:sz w:val="44"/>
          <w:szCs w:val="44"/>
        </w:rPr>
        <w:t>202</w:t>
      </w:r>
      <w:r>
        <w:rPr>
          <w:rFonts w:hint="eastAsia" w:ascii="宋体" w:cs="宋体"/>
          <w:b/>
          <w:color w:val="auto"/>
          <w:w w:val="85"/>
          <w:kern w:val="0"/>
          <w:sz w:val="44"/>
          <w:szCs w:val="44"/>
          <w:lang w:val="en-US" w:eastAsia="zh-CN"/>
        </w:rPr>
        <w:t>2</w:t>
      </w:r>
      <w:r>
        <w:rPr>
          <w:rFonts w:hint="eastAsia" w:ascii="宋体" w:cs="宋体"/>
          <w:b/>
          <w:color w:val="auto"/>
          <w:w w:val="85"/>
          <w:kern w:val="0"/>
          <w:sz w:val="44"/>
          <w:szCs w:val="44"/>
        </w:rPr>
        <w:t>年</w:t>
      </w:r>
      <w:r>
        <w:rPr>
          <w:rFonts w:hint="eastAsia" w:ascii="宋体" w:cs="宋体"/>
          <w:b/>
          <w:color w:val="auto"/>
          <w:w w:val="85"/>
          <w:kern w:val="0"/>
          <w:sz w:val="44"/>
          <w:szCs w:val="44"/>
          <w:lang w:val="en-US" w:eastAsia="zh-CN"/>
        </w:rPr>
        <w:t>5</w:t>
      </w:r>
      <w:r>
        <w:rPr>
          <w:rFonts w:hint="eastAsia" w:ascii="宋体" w:cs="宋体"/>
          <w:b/>
          <w:color w:val="auto"/>
          <w:w w:val="85"/>
          <w:kern w:val="0"/>
          <w:sz w:val="44"/>
          <w:szCs w:val="44"/>
        </w:rPr>
        <w:t>月）</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ascii="宋体" w:cs="宋体"/>
          <w:b/>
          <w:color w:val="auto"/>
          <w:w w:val="85"/>
          <w:kern w:val="0"/>
          <w:sz w:val="44"/>
          <w:szCs w:val="44"/>
        </w:rPr>
      </w:pPr>
      <w:r>
        <w:rPr>
          <w:rFonts w:hint="eastAsia" w:ascii="宋体" w:cs="宋体"/>
          <w:b/>
          <w:color w:val="auto"/>
          <w:w w:val="85"/>
          <w:kern w:val="0"/>
          <w:sz w:val="44"/>
          <w:szCs w:val="44"/>
        </w:rPr>
        <w:t>目</w:t>
      </w:r>
      <w:r>
        <w:rPr>
          <w:rFonts w:ascii="宋体" w:cs="宋体"/>
          <w:b/>
          <w:color w:val="auto"/>
          <w:w w:val="85"/>
          <w:kern w:val="0"/>
          <w:sz w:val="44"/>
          <w:szCs w:val="44"/>
        </w:rPr>
        <w:t xml:space="preserve">  </w:t>
      </w:r>
      <w:r>
        <w:rPr>
          <w:rFonts w:hint="eastAsia" w:ascii="宋体" w:cs="宋体"/>
          <w:b/>
          <w:color w:val="auto"/>
          <w:w w:val="85"/>
          <w:kern w:val="0"/>
          <w:sz w:val="44"/>
          <w:szCs w:val="44"/>
        </w:rPr>
        <w:t>录</w:t>
      </w:r>
    </w:p>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color w:val="auto"/>
          <w:sz w:val="24"/>
          <w:szCs w:val="24"/>
        </w:rPr>
      </w:pPr>
    </w:p>
    <w:p>
      <w:pPr>
        <w:pStyle w:val="10"/>
        <w:keepNext w:val="0"/>
        <w:keepLines w:val="0"/>
        <w:pageBreakBefore w:val="0"/>
        <w:widowControl w:val="0"/>
        <w:tabs>
          <w:tab w:val="right" w:leader="dot" w:pos="8845"/>
        </w:tabs>
      </w:pPr>
      <w:r>
        <w:rPr>
          <w:rFonts w:ascii="仿宋" w:eastAsia="仿宋" w:cs="仿宋"/>
          <w:color w:val="auto"/>
          <w:sz w:val="24"/>
          <w:szCs w:val="24"/>
        </w:rPr>
        <w:fldChar w:fldCharType="begin"/>
      </w:r>
      <w:r>
        <w:rPr>
          <w:rFonts w:ascii="仿宋" w:eastAsia="仿宋" w:cs="仿宋"/>
          <w:color w:val="auto"/>
          <w:sz w:val="24"/>
          <w:szCs w:val="24"/>
        </w:rPr>
        <w:instrText xml:space="preserve">TOC \o "1-3" \h \u </w:instrText>
      </w:r>
      <w:r>
        <w:rPr>
          <w:rFonts w:ascii="仿宋" w:eastAsia="仿宋" w:cs="仿宋"/>
          <w:color w:val="auto"/>
          <w:sz w:val="24"/>
          <w:szCs w:val="24"/>
        </w:rPr>
        <w:fldChar w:fldCharType="separate"/>
      </w:r>
      <w:r>
        <w:fldChar w:fldCharType="begin"/>
      </w:r>
      <w:r>
        <w:instrText xml:space="preserve">Hyperlink \l "_Toc36069198"</w:instrText>
      </w:r>
      <w:r>
        <w:fldChar w:fldCharType="separate"/>
      </w:r>
      <w:r>
        <w:rPr>
          <w:rFonts w:hint="eastAsia" w:ascii="黑体" w:eastAsia="黑体" w:cs="黑体"/>
          <w:bCs w:val="0"/>
          <w:szCs w:val="32"/>
          <w:lang w:val="en-US" w:eastAsia="zh-CN"/>
        </w:rPr>
        <w:t>一、</w:t>
      </w:r>
      <w:r>
        <w:rPr>
          <w:rFonts w:hint="eastAsia" w:ascii="黑体" w:eastAsia="黑体" w:cs="黑体"/>
          <w:bCs w:val="0"/>
          <w:szCs w:val="32"/>
        </w:rPr>
        <w:t>基本条件</w:t>
      </w:r>
      <w:r>
        <w:tab/>
      </w:r>
      <w:r>
        <w:fldChar w:fldCharType="begin"/>
      </w:r>
      <w:r>
        <w:instrText xml:space="preserve">PageRef _Toc36069198 \h</w:instrText>
      </w:r>
      <w:r>
        <w:fldChar w:fldCharType="separate"/>
      </w:r>
      <w:r>
        <w:t>1</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"_Toc36069199"</w:instrText>
      </w:r>
      <w:r>
        <w:fldChar w:fldCharType="separate"/>
      </w:r>
      <w:r>
        <w:rPr>
          <w:rFonts w:hint="eastAsia" w:ascii="黑体" w:eastAsia="黑体" w:cs="黑体"/>
          <w:bCs w:val="0"/>
          <w:szCs w:val="32"/>
          <w:lang w:val="en-US" w:eastAsia="zh-CN"/>
        </w:rPr>
        <w:t>二、</w:t>
      </w:r>
      <w:r>
        <w:rPr>
          <w:rFonts w:hint="eastAsia" w:ascii="黑体" w:eastAsia="黑体" w:cs="黑体"/>
          <w:bCs w:val="0"/>
          <w:szCs w:val="32"/>
        </w:rPr>
        <w:t>不得报考或取消报考（聘用）资格的情形</w:t>
      </w:r>
      <w:r>
        <w:tab/>
      </w:r>
      <w:r>
        <w:fldChar w:fldCharType="begin"/>
      </w:r>
      <w:r>
        <w:instrText xml:space="preserve">PageRef _Toc36069199 \h</w:instrText>
      </w:r>
      <w:r>
        <w:fldChar w:fldCharType="separate"/>
      </w:r>
      <w:r>
        <w:t>1</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"_Toc36069200"</w:instrText>
      </w:r>
      <w:r>
        <w:fldChar w:fldCharType="separate"/>
      </w:r>
      <w:r>
        <w:rPr>
          <w:rFonts w:hint="eastAsia" w:ascii="黑体" w:eastAsia="黑体" w:cs="黑体"/>
          <w:bCs w:val="0"/>
          <w:szCs w:val="32"/>
          <w:lang w:val="en-US" w:eastAsia="zh-CN"/>
        </w:rPr>
        <w:t>三、</w:t>
      </w:r>
      <w:r>
        <w:rPr>
          <w:rFonts w:hint="eastAsia" w:ascii="黑体" w:eastAsia="黑体" w:cs="黑体"/>
          <w:bCs w:val="0"/>
          <w:szCs w:val="32"/>
        </w:rPr>
        <w:t>选报岗位</w:t>
      </w:r>
      <w:r>
        <w:tab/>
      </w:r>
      <w:r>
        <w:fldChar w:fldCharType="begin"/>
      </w:r>
      <w:r>
        <w:instrText xml:space="preserve">PageRef _Toc36069200 \h</w:instrText>
      </w:r>
      <w:r>
        <w:fldChar w:fldCharType="separate"/>
      </w:r>
      <w:r>
        <w:t>2</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"_Toc36069201"</w:instrText>
      </w:r>
      <w:r>
        <w:fldChar w:fldCharType="separate"/>
      </w:r>
      <w:r>
        <w:rPr>
          <w:rFonts w:hint="eastAsia" w:ascii="楷体_GB2312" w:eastAsia="楷体_GB2312" w:cs="楷体_GB2312"/>
          <w:bCs w:val="0"/>
          <w:szCs w:val="32"/>
        </w:rPr>
        <w:t>（一）报考资格条件确认</w:t>
      </w:r>
      <w:r>
        <w:tab/>
      </w:r>
      <w:r>
        <w:fldChar w:fldCharType="begin"/>
      </w:r>
      <w:r>
        <w:instrText xml:space="preserve">PageRef _Toc36069201 \h</w:instrText>
      </w:r>
      <w:r>
        <w:fldChar w:fldCharType="separate"/>
      </w:r>
      <w:r>
        <w:t>2</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"_Toc36069202"</w:instrText>
      </w:r>
      <w:r>
        <w:fldChar w:fldCharType="separate"/>
      </w:r>
      <w:r>
        <w:rPr>
          <w:rFonts w:hint="eastAsia" w:ascii="楷体_GB2312" w:eastAsia="楷体_GB2312" w:cs="楷体_GB2312"/>
          <w:bCs w:val="0"/>
          <w:szCs w:val="32"/>
        </w:rPr>
        <w:t>（</w:t>
      </w:r>
      <w:r>
        <w:rPr>
          <w:rFonts w:hint="eastAsia" w:ascii="楷体_GB2312" w:eastAsia="楷体_GB2312" w:cs="楷体_GB2312"/>
          <w:bCs w:val="0"/>
          <w:szCs w:val="32"/>
          <w:lang w:eastAsia="zh-CN"/>
        </w:rPr>
        <w:t>二</w:t>
      </w:r>
      <w:r>
        <w:rPr>
          <w:rFonts w:hint="eastAsia" w:ascii="楷体_GB2312" w:eastAsia="楷体_GB2312" w:cs="楷体_GB2312"/>
          <w:bCs w:val="0"/>
          <w:szCs w:val="32"/>
        </w:rPr>
        <w:t>）照片要求</w:t>
      </w:r>
      <w:r>
        <w:tab/>
      </w:r>
      <w:r>
        <w:fldChar w:fldCharType="begin"/>
      </w:r>
      <w:r>
        <w:instrText xml:space="preserve">PageRef _Toc36069202 \h</w:instrText>
      </w:r>
      <w:r>
        <w:fldChar w:fldCharType="separate"/>
      </w:r>
      <w:r>
        <w:t>3</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"_Toc36069203"</w:instrText>
      </w:r>
      <w:r>
        <w:fldChar w:fldCharType="separate"/>
      </w:r>
      <w:r>
        <w:rPr>
          <w:rFonts w:hint="eastAsia" w:ascii="楷体_GB2312" w:eastAsia="楷体_GB2312" w:cs="楷体_GB2312"/>
          <w:bCs w:val="0"/>
          <w:szCs w:val="32"/>
        </w:rPr>
        <w:t>（</w:t>
      </w:r>
      <w:r>
        <w:rPr>
          <w:rFonts w:hint="eastAsia" w:ascii="楷体_GB2312" w:eastAsia="楷体_GB2312" w:cs="楷体_GB2312"/>
          <w:bCs w:val="0"/>
          <w:szCs w:val="32"/>
          <w:lang w:eastAsia="zh-CN"/>
        </w:rPr>
        <w:t>三</w:t>
      </w:r>
      <w:r>
        <w:rPr>
          <w:rFonts w:hint="eastAsia" w:ascii="楷体_GB2312" w:eastAsia="楷体_GB2312" w:cs="楷体_GB2312"/>
          <w:bCs w:val="0"/>
          <w:szCs w:val="32"/>
        </w:rPr>
        <w:t>）个人简历</w:t>
      </w:r>
      <w:r>
        <w:tab/>
      </w:r>
      <w:r>
        <w:fldChar w:fldCharType="begin"/>
      </w:r>
      <w:r>
        <w:instrText xml:space="preserve">PageRef _Toc36069203 \h</w:instrText>
      </w:r>
      <w:r>
        <w:fldChar w:fldCharType="separate"/>
      </w:r>
      <w:r>
        <w:t>3</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"_Toc36069204"</w:instrText>
      </w:r>
      <w:r>
        <w:fldChar w:fldCharType="separate"/>
      </w:r>
      <w:r>
        <w:rPr>
          <w:rFonts w:hint="eastAsia" w:ascii="楷体_GB2312" w:eastAsia="楷体_GB2312" w:cs="楷体_GB2312"/>
          <w:bCs w:val="0"/>
          <w:szCs w:val="32"/>
        </w:rPr>
        <w:t>（</w:t>
      </w:r>
      <w:r>
        <w:rPr>
          <w:rFonts w:hint="eastAsia" w:ascii="楷体_GB2312" w:eastAsia="楷体_GB2312" w:cs="楷体_GB2312"/>
          <w:bCs w:val="0"/>
          <w:szCs w:val="32"/>
          <w:lang w:eastAsia="zh-CN"/>
        </w:rPr>
        <w:t>四</w:t>
      </w:r>
      <w:r>
        <w:rPr>
          <w:rFonts w:hint="eastAsia" w:ascii="楷体_GB2312" w:eastAsia="楷体_GB2312" w:cs="楷体_GB2312"/>
          <w:bCs w:val="0"/>
          <w:szCs w:val="32"/>
        </w:rPr>
        <w:t>）回避情形</w:t>
      </w:r>
      <w:r>
        <w:tab/>
      </w:r>
      <w:r>
        <w:fldChar w:fldCharType="begin"/>
      </w:r>
      <w:r>
        <w:instrText xml:space="preserve">PageRef _Toc36069204 \h</w:instrText>
      </w:r>
      <w:r>
        <w:fldChar w:fldCharType="separate"/>
      </w:r>
      <w:r>
        <w:t>4</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"_Toc36069205"</w:instrText>
      </w:r>
      <w:r>
        <w:fldChar w:fldCharType="separate"/>
      </w:r>
      <w:r>
        <w:rPr>
          <w:rFonts w:hint="eastAsia" w:ascii="黑体" w:eastAsia="黑体" w:cs="黑体"/>
          <w:bCs w:val="0"/>
          <w:szCs w:val="32"/>
          <w:lang w:val="en-US" w:eastAsia="zh-CN"/>
        </w:rPr>
        <w:t>四、</w:t>
      </w:r>
      <w:r>
        <w:rPr>
          <w:rFonts w:hint="eastAsia" w:ascii="黑体" w:eastAsia="黑体" w:cs="黑体"/>
          <w:bCs w:val="0"/>
          <w:szCs w:val="32"/>
        </w:rPr>
        <w:t>年龄、资格（历）等的计算办法</w:t>
      </w:r>
      <w:r>
        <w:tab/>
      </w:r>
      <w:r>
        <w:fldChar w:fldCharType="begin"/>
      </w:r>
      <w:r>
        <w:instrText xml:space="preserve">PageRef _Toc36069205 \h</w:instrText>
      </w:r>
      <w:r>
        <w:fldChar w:fldCharType="separate"/>
      </w:r>
      <w:r>
        <w:t>5</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"_Toc36069206"</w:instrText>
      </w:r>
      <w:r>
        <w:fldChar w:fldCharType="separate"/>
      </w:r>
      <w:r>
        <w:rPr>
          <w:rFonts w:hint="eastAsia" w:ascii="楷体_GB2312" w:eastAsia="楷体_GB2312" w:cs="楷体_GB2312"/>
          <w:bCs/>
          <w:szCs w:val="32"/>
          <w:highlight w:val="none"/>
          <w:lang w:eastAsia="zh-CN"/>
        </w:rPr>
        <w:t>（</w:t>
      </w:r>
      <w:r>
        <w:rPr>
          <w:rFonts w:hint="eastAsia" w:ascii="楷体_GB2312" w:eastAsia="楷体_GB2312" w:cs="楷体_GB2312"/>
          <w:bCs/>
          <w:szCs w:val="32"/>
          <w:highlight w:val="none"/>
          <w:lang w:val="en-US" w:eastAsia="zh-CN"/>
        </w:rPr>
        <w:t>一</w:t>
      </w:r>
      <w:r>
        <w:rPr>
          <w:rFonts w:hint="eastAsia" w:ascii="楷体_GB2312" w:eastAsia="楷体_GB2312" w:cs="楷体_GB2312"/>
          <w:bCs/>
          <w:szCs w:val="32"/>
          <w:highlight w:val="none"/>
          <w:lang w:eastAsia="zh-CN"/>
        </w:rPr>
        <w:t>）</w:t>
      </w:r>
      <w:r>
        <w:rPr>
          <w:rFonts w:hint="eastAsia" w:ascii="楷体_GB2312" w:eastAsia="楷体_GB2312" w:cs="楷体_GB2312"/>
          <w:bCs/>
          <w:szCs w:val="32"/>
          <w:highlight w:val="none"/>
        </w:rPr>
        <w:t>年龄</w:t>
      </w:r>
      <w:r>
        <w:tab/>
      </w:r>
      <w:r>
        <w:fldChar w:fldCharType="begin"/>
      </w:r>
      <w:r>
        <w:instrText xml:space="preserve">PageRef _Toc36069206 \h</w:instrText>
      </w:r>
      <w:r>
        <w:fldChar w:fldCharType="separate"/>
      </w:r>
      <w:r>
        <w:t>5</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"_Toc36069207"</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二</w:t>
      </w:r>
      <w:r>
        <w:rPr>
          <w:rFonts w:hint="eastAsia" w:ascii="楷体_GB2312" w:eastAsia="楷体_GB2312" w:cs="楷体_GB2312"/>
          <w:bCs/>
          <w:szCs w:val="32"/>
          <w:lang w:eastAsia="zh-CN"/>
        </w:rPr>
        <w:t>）资格（历）等</w:t>
      </w:r>
      <w:r>
        <w:tab/>
      </w:r>
      <w:r>
        <w:fldChar w:fldCharType="begin"/>
      </w:r>
      <w:r>
        <w:instrText xml:space="preserve">PageRef _Toc36069207 \h</w:instrText>
      </w:r>
      <w:r>
        <w:fldChar w:fldCharType="separate"/>
      </w:r>
      <w:r>
        <w:t>5</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"_Toc36069208"</w:instrText>
      </w:r>
      <w:r>
        <w:fldChar w:fldCharType="separate"/>
      </w:r>
      <w:r>
        <w:rPr>
          <w:rFonts w:hint="eastAsia" w:ascii="黑体" w:eastAsia="黑体" w:cs="黑体"/>
          <w:bCs w:val="0"/>
          <w:szCs w:val="32"/>
          <w:lang w:val="en-US" w:eastAsia="zh-CN"/>
        </w:rPr>
        <w:t>五、</w:t>
      </w:r>
      <w:r>
        <w:rPr>
          <w:rFonts w:hint="eastAsia" w:ascii="黑体" w:eastAsia="黑体" w:cs="黑体"/>
          <w:bCs w:val="0"/>
          <w:szCs w:val="32"/>
        </w:rPr>
        <w:t>学历（位）认定</w:t>
      </w:r>
      <w:r>
        <w:tab/>
      </w:r>
      <w:r>
        <w:fldChar w:fldCharType="begin"/>
      </w:r>
      <w:r>
        <w:instrText xml:space="preserve">PageRef _Toc36069208 \h</w:instrText>
      </w:r>
      <w:r>
        <w:fldChar w:fldCharType="separate"/>
      </w:r>
      <w:r>
        <w:t>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"_Toc36069209"</w:instrText>
      </w:r>
      <w:r>
        <w:fldChar w:fldCharType="separate"/>
      </w:r>
      <w:r>
        <w:rPr>
          <w:rFonts w:hint="eastAsia" w:ascii="楷体_GB2312" w:eastAsia="楷体_GB2312" w:cs="楷体_GB2312"/>
          <w:bCs/>
          <w:szCs w:val="32"/>
        </w:rPr>
        <w:t>（一）境内学历（位）</w:t>
      </w:r>
      <w:r>
        <w:tab/>
      </w:r>
      <w:r>
        <w:fldChar w:fldCharType="begin"/>
      </w:r>
      <w:r>
        <w:instrText xml:space="preserve">PageRef _Toc36069209 \h</w:instrText>
      </w:r>
      <w:r>
        <w:fldChar w:fldCharType="separate"/>
      </w:r>
      <w:r>
        <w:t>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"_Toc36069210"</w:instrText>
      </w:r>
      <w:r>
        <w:fldChar w:fldCharType="separate"/>
      </w:r>
      <w:r>
        <w:rPr>
          <w:rFonts w:hint="eastAsia" w:ascii="楷体_GB2312" w:eastAsia="楷体_GB2312" w:cs="楷体_GB2312"/>
          <w:bCs w:val="0"/>
          <w:szCs w:val="32"/>
        </w:rPr>
        <w:t>（二）</w:t>
      </w:r>
      <w:r>
        <w:rPr>
          <w:rFonts w:ascii="楷体_GB2312" w:eastAsia="楷体_GB2312" w:cs="楷体_GB2312"/>
          <w:bCs w:val="0"/>
          <w:szCs w:val="32"/>
        </w:rPr>
        <w:t>国（</w:t>
      </w:r>
      <w:r>
        <w:rPr>
          <w:rFonts w:hint="eastAsia" w:ascii="楷体_GB2312" w:eastAsia="楷体_GB2312" w:cs="楷体_GB2312"/>
          <w:bCs w:val="0"/>
          <w:szCs w:val="32"/>
        </w:rPr>
        <w:t>境</w:t>
      </w:r>
      <w:r>
        <w:rPr>
          <w:rFonts w:ascii="楷体_GB2312" w:eastAsia="楷体_GB2312" w:cs="楷体_GB2312"/>
          <w:bCs w:val="0"/>
          <w:szCs w:val="32"/>
        </w:rPr>
        <w:t>）</w:t>
      </w:r>
      <w:r>
        <w:rPr>
          <w:rFonts w:hint="eastAsia" w:ascii="楷体_GB2312" w:eastAsia="楷体_GB2312" w:cs="楷体_GB2312"/>
          <w:bCs w:val="0"/>
          <w:szCs w:val="32"/>
        </w:rPr>
        <w:t>外学历（位）</w:t>
      </w:r>
      <w:r>
        <w:tab/>
      </w:r>
      <w:r>
        <w:fldChar w:fldCharType="begin"/>
      </w:r>
      <w:r>
        <w:instrText xml:space="preserve">PageRef _Toc36069210 \h</w:instrText>
      </w:r>
      <w:r>
        <w:fldChar w:fldCharType="separate"/>
      </w:r>
      <w:r>
        <w:t>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"_Toc36069211"</w:instrText>
      </w:r>
      <w:r>
        <w:fldChar w:fldCharType="separate"/>
      </w:r>
      <w:r>
        <w:rPr>
          <w:rFonts w:hint="eastAsia" w:ascii="楷体_GB2312" w:eastAsia="楷体_GB2312" w:cs="楷体_GB2312"/>
          <w:bCs w:val="0"/>
          <w:szCs w:val="32"/>
        </w:rPr>
        <w:t>（</w:t>
      </w:r>
      <w:r>
        <w:rPr>
          <w:rFonts w:hint="eastAsia" w:ascii="楷体_GB2312" w:eastAsia="楷体_GB2312" w:cs="楷体_GB2312"/>
          <w:bCs w:val="0"/>
          <w:szCs w:val="32"/>
          <w:lang w:eastAsia="zh-CN"/>
        </w:rPr>
        <w:t>三</w:t>
      </w:r>
      <w:r>
        <w:rPr>
          <w:rFonts w:hint="eastAsia" w:ascii="楷体_GB2312" w:eastAsia="楷体_GB2312" w:cs="楷体_GB2312"/>
          <w:bCs w:val="0"/>
          <w:szCs w:val="32"/>
        </w:rPr>
        <w:t>）我省“双学位”“双专业”学历</w:t>
      </w:r>
      <w:r>
        <w:tab/>
      </w:r>
      <w:r>
        <w:fldChar w:fldCharType="begin"/>
      </w:r>
      <w:r>
        <w:instrText xml:space="preserve">PageRef _Toc36069211 \h</w:instrText>
      </w:r>
      <w:r>
        <w:fldChar w:fldCharType="separate"/>
      </w:r>
      <w:r>
        <w:t>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"_Toc36069212"</w:instrText>
      </w:r>
      <w:r>
        <w:fldChar w:fldCharType="separate"/>
      </w:r>
      <w:r>
        <w:rPr>
          <w:rFonts w:hint="eastAsia" w:ascii="楷体_GB2312" w:eastAsia="楷体_GB2312" w:cs="楷体_GB2312"/>
          <w:bCs/>
          <w:szCs w:val="32"/>
        </w:rPr>
        <w:t>（</w:t>
      </w:r>
      <w:r>
        <w:rPr>
          <w:rFonts w:hint="eastAsia" w:ascii="楷体_GB2312" w:eastAsia="楷体_GB2312" w:cs="楷体_GB2312"/>
          <w:bCs/>
          <w:szCs w:val="32"/>
          <w:lang w:eastAsia="zh-CN"/>
        </w:rPr>
        <w:t>四</w:t>
      </w:r>
      <w:r>
        <w:rPr>
          <w:rFonts w:hint="eastAsia" w:ascii="楷体_GB2312" w:eastAsia="楷体_GB2312" w:cs="楷体_GB2312"/>
          <w:bCs/>
          <w:szCs w:val="32"/>
        </w:rPr>
        <w:t>）提醒事项</w:t>
      </w:r>
      <w:r>
        <w:tab/>
      </w:r>
      <w:r>
        <w:fldChar w:fldCharType="begin"/>
      </w:r>
      <w:r>
        <w:instrText xml:space="preserve">PageRef _Toc36069212 \h</w:instrText>
      </w:r>
      <w:r>
        <w:fldChar w:fldCharType="separate"/>
      </w:r>
      <w:r>
        <w:t>7</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"_Toc36069213"</w:instrText>
      </w:r>
      <w:r>
        <w:fldChar w:fldCharType="separate"/>
      </w:r>
      <w:r>
        <w:rPr>
          <w:rFonts w:hint="eastAsia" w:ascii="黑体" w:eastAsia="黑体" w:cs="黑体"/>
          <w:bCs w:val="0"/>
          <w:szCs w:val="32"/>
          <w:lang w:val="en-US" w:eastAsia="zh-CN"/>
        </w:rPr>
        <w:t>六、</w:t>
      </w:r>
      <w:r>
        <w:rPr>
          <w:rFonts w:hint="eastAsia" w:ascii="黑体" w:eastAsia="黑体" w:cs="黑体"/>
          <w:bCs w:val="0"/>
          <w:szCs w:val="32"/>
        </w:rPr>
        <w:t>专业</w:t>
      </w:r>
      <w:r>
        <w:tab/>
      </w:r>
      <w:r>
        <w:fldChar w:fldCharType="begin"/>
      </w:r>
      <w:r>
        <w:instrText xml:space="preserve">PageRef _Toc36069213 \h</w:instrText>
      </w:r>
      <w:r>
        <w:fldChar w:fldCharType="separate"/>
      </w:r>
      <w:r>
        <w:t>7</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"_Toc36069214"</w:instrText>
      </w:r>
      <w:r>
        <w:fldChar w:fldCharType="separate"/>
      </w:r>
      <w:r>
        <w:rPr>
          <w:rFonts w:hint="eastAsia" w:ascii="楷体_GB2312" w:eastAsia="楷体_GB2312" w:cs="楷体_GB2312"/>
          <w:bCs w:val="0"/>
          <w:szCs w:val="32"/>
        </w:rPr>
        <w:t>（一）填报专业名称</w:t>
      </w:r>
      <w:r>
        <w:tab/>
      </w:r>
      <w:r>
        <w:fldChar w:fldCharType="begin"/>
      </w:r>
      <w:r>
        <w:instrText xml:space="preserve">PageRef _Toc36069214 \h</w:instrText>
      </w:r>
      <w:r>
        <w:fldChar w:fldCharType="separate"/>
      </w:r>
      <w:r>
        <w:t>7</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"_Toc36069215"</w:instrText>
      </w:r>
      <w:r>
        <w:fldChar w:fldCharType="separate"/>
      </w:r>
      <w:r>
        <w:rPr>
          <w:rFonts w:hint="eastAsia" w:ascii="楷体_GB2312" w:eastAsia="楷体_GB2312" w:cs="楷体_GB2312"/>
          <w:bCs w:val="0"/>
          <w:szCs w:val="32"/>
        </w:rPr>
        <w:t>（二）专业与学历（位）的对应关系</w:t>
      </w:r>
      <w:r>
        <w:tab/>
      </w:r>
      <w:r>
        <w:fldChar w:fldCharType="begin"/>
      </w:r>
      <w:r>
        <w:instrText xml:space="preserve">PageRef _Toc36069215 \h</w:instrText>
      </w:r>
      <w:r>
        <w:fldChar w:fldCharType="separate"/>
      </w:r>
      <w:r>
        <w:t>7</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"_Toc36069216"</w:instrText>
      </w:r>
      <w:r>
        <w:fldChar w:fldCharType="separate"/>
      </w:r>
      <w:r>
        <w:rPr>
          <w:rFonts w:hint="eastAsia" w:ascii="楷体_GB2312" w:eastAsia="楷体_GB2312" w:cs="楷体_GB2312"/>
          <w:bCs/>
          <w:szCs w:val="32"/>
        </w:rPr>
        <w:t>（三）专业资格的认定</w:t>
      </w:r>
      <w:r>
        <w:tab/>
      </w:r>
      <w:r>
        <w:fldChar w:fldCharType="begin"/>
      </w:r>
      <w:r>
        <w:instrText xml:space="preserve">PageRef _Toc36069216 \h</w:instrText>
      </w:r>
      <w:r>
        <w:fldChar w:fldCharType="separate"/>
      </w:r>
      <w:r>
        <w:t>8</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"_Toc36069217"</w:instrText>
      </w:r>
      <w:r>
        <w:fldChar w:fldCharType="separate"/>
      </w:r>
      <w:r>
        <w:rPr>
          <w:rFonts w:hint="eastAsia" w:ascii="黑体" w:eastAsia="黑体" w:cs="黑体"/>
          <w:bCs w:val="0"/>
          <w:szCs w:val="32"/>
          <w:lang w:val="en-US" w:eastAsia="zh-CN"/>
        </w:rPr>
        <w:t>七、</w:t>
      </w:r>
      <w:r>
        <w:rPr>
          <w:rFonts w:hint="eastAsia" w:ascii="黑体" w:eastAsia="黑体" w:cs="黑体"/>
          <w:bCs w:val="0"/>
          <w:szCs w:val="32"/>
        </w:rPr>
        <w:t>工作经验</w:t>
      </w:r>
      <w:r>
        <w:tab/>
      </w:r>
      <w:r>
        <w:fldChar w:fldCharType="begin"/>
      </w:r>
      <w:r>
        <w:instrText xml:space="preserve">PageRef _Toc36069217 \h</w:instrText>
      </w:r>
      <w:r>
        <w:fldChar w:fldCharType="separate"/>
      </w:r>
      <w:r>
        <w:t>9</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"_Toc36069218"</w:instrText>
      </w:r>
      <w:r>
        <w:fldChar w:fldCharType="separate"/>
      </w:r>
      <w:r>
        <w:rPr>
          <w:rFonts w:hint="eastAsia" w:ascii="黑体" w:eastAsia="黑体" w:cs="黑体"/>
          <w:bCs w:val="0"/>
          <w:szCs w:val="32"/>
          <w:lang w:val="en-US" w:eastAsia="zh-CN"/>
        </w:rPr>
        <w:t>八、岗位开考比例</w:t>
      </w:r>
      <w:r>
        <w:tab/>
      </w:r>
      <w:r>
        <w:fldChar w:fldCharType="begin"/>
      </w:r>
      <w:r>
        <w:instrText xml:space="preserve">PageRef _Toc36069218 \h</w:instrText>
      </w:r>
      <w:r>
        <w:fldChar w:fldCharType="separate"/>
      </w:r>
      <w:r>
        <w:t>10</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"_Toc36069219"</w:instrText>
      </w:r>
      <w:r>
        <w:fldChar w:fldCharType="separate"/>
      </w:r>
      <w:r>
        <w:rPr>
          <w:rFonts w:hint="eastAsia" w:ascii="黑体" w:eastAsia="黑体" w:cs="黑体"/>
          <w:bCs w:val="0"/>
          <w:szCs w:val="32"/>
          <w:lang w:val="en-US" w:eastAsia="zh-CN"/>
        </w:rPr>
        <w:t>九、</w:t>
      </w:r>
      <w:r>
        <w:rPr>
          <w:rFonts w:hint="eastAsia" w:ascii="黑体" w:eastAsia="黑体" w:cs="黑体"/>
          <w:bCs w:val="0"/>
          <w:szCs w:val="32"/>
        </w:rPr>
        <w:t>笔试加分</w:t>
      </w:r>
      <w:r>
        <w:tab/>
      </w:r>
      <w:r>
        <w:fldChar w:fldCharType="begin"/>
      </w:r>
      <w:r>
        <w:instrText xml:space="preserve">PageRef _Toc36069219 \h</w:instrText>
      </w:r>
      <w:r>
        <w:fldChar w:fldCharType="separate"/>
      </w:r>
      <w:r>
        <w:t>10</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"_Toc36069220"</w:instrText>
      </w:r>
      <w:r>
        <w:fldChar w:fldCharType="separate"/>
      </w:r>
      <w:r>
        <w:rPr>
          <w:rFonts w:hint="eastAsia" w:ascii="楷体_GB2312" w:eastAsia="楷体_GB2312" w:cs="楷体_GB2312"/>
          <w:bCs/>
          <w:szCs w:val="32"/>
        </w:rPr>
        <w:t>（一）加分原则</w:t>
      </w:r>
      <w:r>
        <w:tab/>
      </w:r>
      <w:r>
        <w:fldChar w:fldCharType="begin"/>
      </w:r>
      <w:r>
        <w:instrText xml:space="preserve">PageRef _Toc36069220 \h</w:instrText>
      </w:r>
      <w:r>
        <w:fldChar w:fldCharType="separate"/>
      </w:r>
      <w:r>
        <w:t>10</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"_Toc36069221"</w:instrText>
      </w:r>
      <w:r>
        <w:fldChar w:fldCharType="separate"/>
      </w:r>
      <w:r>
        <w:rPr>
          <w:rFonts w:hint="eastAsia" w:ascii="楷体_GB2312" w:eastAsia="楷体_GB2312" w:cs="楷体_GB2312"/>
          <w:bCs/>
          <w:szCs w:val="32"/>
        </w:rPr>
        <w:t>（二）加分对象</w:t>
      </w:r>
      <w:r>
        <w:tab/>
      </w:r>
      <w:r>
        <w:fldChar w:fldCharType="begin"/>
      </w:r>
      <w:r>
        <w:instrText xml:space="preserve">PageRef _Toc36069221 \h</w:instrText>
      </w:r>
      <w:r>
        <w:fldChar w:fldCharType="separate"/>
      </w:r>
      <w:r>
        <w:t>10</w:t>
      </w:r>
      <w:r>
        <w:fldChar w:fldCharType="end"/>
      </w:r>
      <w:r>
        <w:fldChar w:fldCharType="end"/>
      </w:r>
    </w:p>
    <w:p>
      <w:pPr>
        <w:pStyle w:val="6"/>
        <w:keepNext w:val="0"/>
        <w:keepLines w:val="0"/>
        <w:pageBreakBefore w:val="0"/>
        <w:widowControl w:val="0"/>
        <w:tabs>
          <w:tab w:val="right" w:leader="dot" w:pos="8845"/>
        </w:tabs>
      </w:pPr>
      <w:r>
        <w:fldChar w:fldCharType="begin"/>
      </w:r>
      <w:r>
        <w:instrText xml:space="preserve">Hyperlink \l "_Toc36069222"</w:instrText>
      </w:r>
      <w:r>
        <w:fldChar w:fldCharType="separate"/>
      </w:r>
      <w:r>
        <w:rPr>
          <w:rFonts w:hint="eastAsia" w:ascii="仿宋_GB2312" w:eastAsia="仿宋_GB2312" w:cs="仿宋_GB2312"/>
          <w:bCs/>
          <w:szCs w:val="32"/>
          <w:highlight w:val="none"/>
          <w:lang w:val="en-US" w:eastAsia="zh-CN"/>
        </w:rPr>
        <w:t>1.</w:t>
      </w:r>
      <w:r>
        <w:rPr>
          <w:rFonts w:hint="eastAsia" w:ascii="仿宋_GB2312" w:eastAsia="仿宋_GB2312" w:cs="仿宋_GB2312"/>
          <w:bCs/>
          <w:szCs w:val="32"/>
          <w:highlight w:val="none"/>
          <w:lang w:eastAsia="zh-CN"/>
        </w:rPr>
        <w:t>服务基层项目高校毕业人员</w:t>
      </w:r>
      <w:r>
        <w:tab/>
      </w:r>
      <w:r>
        <w:fldChar w:fldCharType="begin"/>
      </w:r>
      <w:r>
        <w:instrText xml:space="preserve">PageRef _Toc36069222 \h</w:instrText>
      </w:r>
      <w:r>
        <w:fldChar w:fldCharType="separate"/>
      </w:r>
      <w:r>
        <w:t>10</w:t>
      </w:r>
      <w:r>
        <w:fldChar w:fldCharType="end"/>
      </w:r>
      <w:r>
        <w:fldChar w:fldCharType="end"/>
      </w:r>
    </w:p>
    <w:p>
      <w:pPr>
        <w:pStyle w:val="6"/>
        <w:keepNext w:val="0"/>
        <w:keepLines w:val="0"/>
        <w:pageBreakBefore w:val="0"/>
        <w:widowControl w:val="0"/>
        <w:tabs>
          <w:tab w:val="right" w:leader="dot" w:pos="8845"/>
        </w:tabs>
      </w:pPr>
      <w:r>
        <w:fldChar w:fldCharType="begin"/>
      </w:r>
      <w:r>
        <w:instrText xml:space="preserve">Hyperlink \l "_Toc36069223"</w:instrText>
      </w:r>
      <w:r>
        <w:fldChar w:fldCharType="separate"/>
      </w:r>
      <w:r>
        <w:rPr>
          <w:rFonts w:hint="eastAsia" w:ascii="仿宋_GB2312" w:eastAsia="仿宋_GB2312" w:cs="仿宋_GB2312"/>
          <w:bCs/>
          <w:szCs w:val="32"/>
          <w:highlight w:val="none"/>
          <w:lang w:val="en-US" w:eastAsia="zh-CN"/>
        </w:rPr>
        <w:t>2.退役士兵（含大学生退役士兵）</w:t>
      </w:r>
      <w:r>
        <w:tab/>
      </w:r>
      <w:r>
        <w:fldChar w:fldCharType="begin"/>
      </w:r>
      <w:r>
        <w:instrText xml:space="preserve">PageRef _Toc36069223 \h</w:instrText>
      </w:r>
      <w:r>
        <w:fldChar w:fldCharType="separate"/>
      </w:r>
      <w:r>
        <w:t>11</w:t>
      </w:r>
      <w:r>
        <w:fldChar w:fldCharType="end"/>
      </w:r>
      <w:r>
        <w:fldChar w:fldCharType="end"/>
      </w:r>
    </w:p>
    <w:p>
      <w:pPr>
        <w:pStyle w:val="6"/>
        <w:keepNext w:val="0"/>
        <w:keepLines w:val="0"/>
        <w:pageBreakBefore w:val="0"/>
        <w:widowControl w:val="0"/>
        <w:tabs>
          <w:tab w:val="right" w:leader="dot" w:pos="8845"/>
        </w:tabs>
      </w:pPr>
      <w:r>
        <w:fldChar w:fldCharType="begin"/>
      </w:r>
      <w:r>
        <w:instrText xml:space="preserve">Hyperlink \l "_Toc36069224"</w:instrText>
      </w:r>
      <w:r>
        <w:fldChar w:fldCharType="separate"/>
      </w:r>
      <w:r>
        <w:rPr>
          <w:rFonts w:hint="eastAsia" w:ascii="仿宋_GB2312" w:eastAsia="仿宋_GB2312" w:cs="仿宋_GB2312"/>
          <w:bCs/>
          <w:szCs w:val="32"/>
          <w:highlight w:val="none"/>
          <w:lang w:val="en-US" w:eastAsia="zh-CN"/>
        </w:rPr>
        <w:t>3.退役优秀运动员</w:t>
      </w:r>
      <w:r>
        <w:tab/>
      </w:r>
      <w:r>
        <w:fldChar w:fldCharType="begin"/>
      </w:r>
      <w:r>
        <w:instrText xml:space="preserve">PageRef _Toc36069224 \h</w:instrText>
      </w:r>
      <w:r>
        <w:fldChar w:fldCharType="separate"/>
      </w:r>
      <w:r>
        <w:t>11</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"_Toc36069225"</w:instrText>
      </w:r>
      <w:r>
        <w:fldChar w:fldCharType="separate"/>
      </w:r>
      <w:r>
        <w:rPr>
          <w:rFonts w:hint="eastAsia" w:ascii="楷体" w:eastAsia="楷体" w:cs="楷体"/>
          <w:bCs/>
          <w:szCs w:val="32"/>
          <w:highlight w:val="none"/>
          <w:lang w:eastAsia="zh-CN"/>
        </w:rPr>
        <w:t>（三）加分证明材料</w:t>
      </w:r>
      <w:r>
        <w:tab/>
      </w:r>
      <w:r>
        <w:fldChar w:fldCharType="begin"/>
      </w:r>
      <w:r>
        <w:instrText xml:space="preserve">PageRef _Toc36069225 \h</w:instrText>
      </w:r>
      <w:r>
        <w:fldChar w:fldCharType="separate"/>
      </w:r>
      <w:r>
        <w:t>12</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"_Toc36069226"</w:instrText>
      </w:r>
      <w:r>
        <w:fldChar w:fldCharType="separate"/>
      </w:r>
      <w:r>
        <w:rPr>
          <w:rFonts w:hint="eastAsia" w:ascii="黑体" w:eastAsia="黑体" w:cs="黑体"/>
          <w:bCs w:val="0"/>
          <w:szCs w:val="32"/>
          <w:lang w:val="en-US" w:eastAsia="zh-CN"/>
        </w:rPr>
        <w:t>十、</w:t>
      </w:r>
      <w:r>
        <w:rPr>
          <w:rFonts w:hint="eastAsia" w:ascii="黑体" w:eastAsia="黑体" w:cs="黑体"/>
          <w:bCs w:val="0"/>
          <w:szCs w:val="32"/>
        </w:rPr>
        <w:t>综合总分计算</w:t>
      </w:r>
      <w:r>
        <w:tab/>
      </w:r>
      <w:r>
        <w:fldChar w:fldCharType="begin"/>
      </w:r>
      <w:r>
        <w:instrText xml:space="preserve">PageRef _Toc36069226 \h</w:instrText>
      </w:r>
      <w:r>
        <w:fldChar w:fldCharType="separate"/>
      </w:r>
      <w:r>
        <w:t>13</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"_Toc36069227"</w:instrText>
      </w:r>
      <w:r>
        <w:fldChar w:fldCharType="separate"/>
      </w:r>
      <w:r>
        <w:rPr>
          <w:rFonts w:hint="eastAsia" w:ascii="黑体" w:eastAsia="黑体" w:cs="黑体"/>
          <w:bCs w:val="0"/>
          <w:szCs w:val="32"/>
          <w:lang w:val="en-US" w:eastAsia="zh-CN"/>
        </w:rPr>
        <w:t>十一、</w:t>
      </w:r>
      <w:r>
        <w:rPr>
          <w:rFonts w:hint="eastAsia" w:ascii="黑体" w:eastAsia="黑体" w:cs="黑体"/>
          <w:bCs w:val="0"/>
          <w:szCs w:val="32"/>
        </w:rPr>
        <w:t>体检和考察</w:t>
      </w:r>
      <w:r>
        <w:tab/>
      </w:r>
      <w:r>
        <w:fldChar w:fldCharType="begin"/>
      </w:r>
      <w:r>
        <w:instrText xml:space="preserve">PageRef _Toc36069227 \h</w:instrText>
      </w:r>
      <w:r>
        <w:fldChar w:fldCharType="separate"/>
      </w:r>
      <w:r>
        <w:t>13</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"_Toc36069228"</w:instrText>
      </w:r>
      <w:r>
        <w:fldChar w:fldCharType="separate"/>
      </w:r>
      <w:r>
        <w:rPr>
          <w:rFonts w:hint="eastAsia" w:ascii="楷体_GB2312" w:eastAsia="楷体_GB2312" w:cs="楷体_GB2312"/>
          <w:bCs/>
          <w:szCs w:val="32"/>
        </w:rPr>
        <w:t>（一）确定体检人选</w:t>
      </w:r>
      <w:r>
        <w:tab/>
      </w:r>
      <w:r>
        <w:fldChar w:fldCharType="begin"/>
      </w:r>
      <w:r>
        <w:instrText xml:space="preserve">PageRef _Toc36069228 \h</w:instrText>
      </w:r>
      <w:r>
        <w:fldChar w:fldCharType="separate"/>
      </w:r>
      <w:r>
        <w:t>13</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"_Toc36069229"</w:instrText>
      </w:r>
      <w:r>
        <w:fldChar w:fldCharType="separate"/>
      </w:r>
      <w:r>
        <w:rPr>
          <w:rFonts w:hint="eastAsia" w:ascii="楷体_GB2312" w:eastAsia="楷体_GB2312" w:cs="楷体_GB2312"/>
          <w:bCs/>
          <w:szCs w:val="32"/>
        </w:rPr>
        <w:t>（二）组织体检</w:t>
      </w:r>
      <w:r>
        <w:tab/>
      </w:r>
      <w:r>
        <w:fldChar w:fldCharType="begin"/>
      </w:r>
      <w:r>
        <w:instrText xml:space="preserve">PageRef _Toc36069229 \h</w:instrText>
      </w:r>
      <w:r>
        <w:fldChar w:fldCharType="separate"/>
      </w:r>
      <w:r>
        <w:t>13</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"_Toc36069230"</w:instrText>
      </w:r>
      <w:r>
        <w:fldChar w:fldCharType="separate"/>
      </w:r>
      <w:r>
        <w:rPr>
          <w:rFonts w:hint="eastAsia" w:ascii="楷体_GB2312" w:eastAsia="楷体_GB2312" w:cs="楷体_GB2312"/>
          <w:bCs/>
          <w:szCs w:val="32"/>
        </w:rPr>
        <w:t>（三）体检依据</w:t>
      </w:r>
      <w:r>
        <w:tab/>
      </w:r>
      <w:r>
        <w:fldChar w:fldCharType="begin"/>
      </w:r>
      <w:r>
        <w:instrText xml:space="preserve">PageRef _Toc36069230 \h</w:instrText>
      </w:r>
      <w:r>
        <w:fldChar w:fldCharType="separate"/>
      </w:r>
      <w:r>
        <w:t>14</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"_Toc36069231"</w:instrText>
      </w:r>
      <w:r>
        <w:fldChar w:fldCharType="separate"/>
      </w:r>
      <w:r>
        <w:rPr>
          <w:rFonts w:hint="eastAsia" w:ascii="楷体_GB2312" w:eastAsia="楷体_GB2312" w:cs="楷体_GB2312"/>
          <w:bCs/>
          <w:szCs w:val="32"/>
        </w:rPr>
        <w:t>（四）体检复检</w:t>
      </w:r>
      <w:r>
        <w:tab/>
      </w:r>
      <w:r>
        <w:fldChar w:fldCharType="begin"/>
      </w:r>
      <w:r>
        <w:instrText xml:space="preserve">PageRef _Toc36069231 \h</w:instrText>
      </w:r>
      <w:r>
        <w:fldChar w:fldCharType="separate"/>
      </w:r>
      <w:r>
        <w:t>14</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"_Toc36069232"</w:instrText>
      </w:r>
      <w:r>
        <w:fldChar w:fldCharType="separate"/>
      </w:r>
      <w:r>
        <w:rPr>
          <w:rFonts w:hint="eastAsia" w:ascii="楷体_GB2312" w:eastAsia="楷体_GB2312" w:cs="楷体_GB2312"/>
          <w:bCs/>
          <w:szCs w:val="32"/>
        </w:rPr>
        <w:t>（五）可延迟体检的情形</w:t>
      </w:r>
      <w:r>
        <w:tab/>
      </w:r>
      <w:r>
        <w:fldChar w:fldCharType="begin"/>
      </w:r>
      <w:r>
        <w:instrText xml:space="preserve">PageRef _Toc36069232 \h</w:instrText>
      </w:r>
      <w:r>
        <w:fldChar w:fldCharType="separate"/>
      </w:r>
      <w:r>
        <w:t>15</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"_Toc36069233"</w:instrText>
      </w:r>
      <w:r>
        <w:fldChar w:fldCharType="separate"/>
      </w:r>
      <w:r>
        <w:rPr>
          <w:rFonts w:hint="eastAsia" w:ascii="楷体_GB2312" w:eastAsia="楷体_GB2312" w:cs="楷体_GB2312"/>
          <w:bCs/>
          <w:szCs w:val="32"/>
        </w:rPr>
        <w:t>（六）考察</w:t>
      </w:r>
      <w:r>
        <w:tab/>
      </w:r>
      <w:r>
        <w:fldChar w:fldCharType="begin"/>
      </w:r>
      <w:r>
        <w:instrText xml:space="preserve">PageRef _Toc36069233 \h</w:instrText>
      </w:r>
      <w:r>
        <w:fldChar w:fldCharType="separate"/>
      </w:r>
      <w:r>
        <w:t>15</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"_Toc36069234"</w:instrText>
      </w:r>
      <w:r>
        <w:fldChar w:fldCharType="separate"/>
      </w:r>
      <w:r>
        <w:rPr>
          <w:rFonts w:hint="eastAsia" w:ascii="黑体" w:eastAsia="黑体" w:cs="黑体"/>
          <w:bCs w:val="0"/>
          <w:szCs w:val="32"/>
          <w:lang w:val="en-US" w:eastAsia="zh-CN"/>
        </w:rPr>
        <w:t>十二、</w:t>
      </w:r>
      <w:r>
        <w:rPr>
          <w:rFonts w:hint="eastAsia" w:ascii="黑体" w:eastAsia="黑体" w:cs="黑体"/>
          <w:bCs w:val="0"/>
          <w:szCs w:val="32"/>
        </w:rPr>
        <w:t>公示</w:t>
      </w:r>
      <w:r>
        <w:tab/>
      </w:r>
      <w:r>
        <w:fldChar w:fldCharType="begin"/>
      </w:r>
      <w:r>
        <w:instrText xml:space="preserve">PageRef _Toc36069234 \h</w:instrText>
      </w:r>
      <w:r>
        <w:fldChar w:fldCharType="separate"/>
      </w:r>
      <w:r>
        <w:t>15</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"_Toc36069235"</w:instrText>
      </w:r>
      <w:r>
        <w:fldChar w:fldCharType="separate"/>
      </w:r>
      <w:r>
        <w:rPr>
          <w:rFonts w:hint="eastAsia" w:ascii="黑体" w:eastAsia="黑体" w:cs="黑体"/>
          <w:bCs w:val="0"/>
          <w:szCs w:val="32"/>
          <w:lang w:val="en-US" w:eastAsia="zh-CN"/>
        </w:rPr>
        <w:t>十三、聘用办理</w:t>
      </w:r>
      <w:r>
        <w:tab/>
      </w:r>
      <w:r>
        <w:fldChar w:fldCharType="begin"/>
      </w:r>
      <w:r>
        <w:instrText xml:space="preserve">PageRef _Toc36069235 \h</w:instrText>
      </w:r>
      <w:r>
        <w:fldChar w:fldCharType="separate"/>
      </w:r>
      <w:r>
        <w:t>16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"_Toc36069236"</w:instrText>
      </w:r>
      <w:r>
        <w:fldChar w:fldCharType="separate"/>
      </w:r>
      <w:r>
        <w:rPr>
          <w:rFonts w:hint="eastAsia" w:ascii="楷体_GB2312" w:eastAsia="楷体_GB2312" w:cs="楷体_GB2312"/>
          <w:bCs/>
          <w:szCs w:val="32"/>
        </w:rPr>
        <w:t>（一）聘用手续办理</w:t>
      </w:r>
      <w:r>
        <w:tab/>
      </w:r>
      <w:r>
        <w:fldChar w:fldCharType="begin"/>
      </w:r>
      <w:r>
        <w:instrText xml:space="preserve">PageRef _Toc36069236 \h</w:instrText>
      </w:r>
      <w:r>
        <w:fldChar w:fldCharType="separate"/>
      </w:r>
      <w:r>
        <w:t>16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"_Toc36069237"</w:instrText>
      </w:r>
      <w:r>
        <w:fldChar w:fldCharType="separate"/>
      </w:r>
      <w:r>
        <w:rPr>
          <w:rFonts w:hint="eastAsia" w:ascii="楷体_GB2312" w:eastAsia="楷体_GB2312" w:cs="楷体_GB2312"/>
          <w:bCs/>
          <w:szCs w:val="32"/>
        </w:rPr>
        <w:t>（二）岗位聘任</w:t>
      </w:r>
      <w:r>
        <w:tab/>
      </w:r>
      <w:r>
        <w:fldChar w:fldCharType="begin"/>
      </w:r>
      <w:r>
        <w:instrText xml:space="preserve">PageRef _Toc36069237 \h</w:instrText>
      </w:r>
      <w:r>
        <w:fldChar w:fldCharType="separate"/>
      </w:r>
      <w:r>
        <w:t>16</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"_Toc36069238"</w:instrText>
      </w:r>
      <w:r>
        <w:fldChar w:fldCharType="separate"/>
      </w:r>
      <w:r>
        <w:rPr>
          <w:rFonts w:hint="eastAsia" w:ascii="黑体" w:eastAsia="黑体" w:cs="黑体"/>
          <w:bCs w:val="0"/>
          <w:szCs w:val="32"/>
          <w:lang w:val="en-US" w:eastAsia="zh-CN"/>
        </w:rPr>
        <w:t>十四、其他需说明事项</w:t>
      </w:r>
      <w:r>
        <w:tab/>
      </w:r>
      <w:r>
        <w:fldChar w:fldCharType="begin"/>
      </w:r>
      <w:r>
        <w:instrText xml:space="preserve">PageRef _Toc36069238 \h</w:instrText>
      </w:r>
      <w:r>
        <w:fldChar w:fldCharType="separate"/>
      </w:r>
      <w:r>
        <w:t>16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"_Toc36069239"</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一</w:t>
      </w:r>
      <w:r>
        <w:rPr>
          <w:rFonts w:hint="eastAsia" w:ascii="楷体_GB2312" w:eastAsia="楷体_GB2312" w:cs="楷体_GB2312"/>
          <w:bCs/>
          <w:szCs w:val="32"/>
          <w:lang w:eastAsia="zh-CN"/>
        </w:rPr>
        <w:t>）</w:t>
      </w:r>
      <w:r>
        <w:rPr>
          <w:rFonts w:hint="eastAsia" w:ascii="楷体_GB2312" w:eastAsia="楷体_GB2312" w:cs="楷体_GB2312"/>
          <w:bCs/>
          <w:szCs w:val="32"/>
        </w:rPr>
        <w:t>职称</w:t>
      </w:r>
      <w:r>
        <w:tab/>
      </w:r>
      <w:r>
        <w:fldChar w:fldCharType="begin"/>
      </w:r>
      <w:r>
        <w:instrText xml:space="preserve">PageRef _Toc36069239 \h</w:instrText>
      </w:r>
      <w:r>
        <w:fldChar w:fldCharType="separate"/>
      </w:r>
      <w:r>
        <w:t>16</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"_Toc36069240"</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二</w:t>
      </w:r>
      <w:r>
        <w:rPr>
          <w:rFonts w:hint="eastAsia" w:ascii="楷体_GB2312" w:eastAsia="楷体_GB2312" w:cs="楷体_GB2312"/>
          <w:bCs/>
          <w:szCs w:val="32"/>
          <w:lang w:eastAsia="zh-CN"/>
        </w:rPr>
        <w:t>）规范化培训</w:t>
      </w:r>
      <w:r>
        <w:tab/>
      </w:r>
      <w:r>
        <w:fldChar w:fldCharType="begin"/>
      </w:r>
      <w:r>
        <w:instrText xml:space="preserve">PageRef _Toc36069240 \h</w:instrText>
      </w:r>
      <w:r>
        <w:fldChar w:fldCharType="separate"/>
      </w:r>
      <w:r>
        <w:t>17</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"_Toc36069241"</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三</w:t>
      </w:r>
      <w:r>
        <w:rPr>
          <w:rFonts w:hint="eastAsia" w:ascii="楷体_GB2312" w:eastAsia="楷体_GB2312" w:cs="楷体_GB2312"/>
          <w:bCs/>
          <w:szCs w:val="32"/>
          <w:lang w:eastAsia="zh-CN"/>
        </w:rPr>
        <w:t>）生源</w:t>
      </w:r>
      <w:r>
        <w:tab/>
      </w:r>
      <w:r>
        <w:fldChar w:fldCharType="begin"/>
      </w:r>
      <w:r>
        <w:instrText xml:space="preserve">PageRef _Toc36069241 \h</w:instrText>
      </w:r>
      <w:r>
        <w:fldChar w:fldCharType="separate"/>
      </w:r>
      <w:r>
        <w:t>18</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"_Toc36069242"</w:instrText>
      </w:r>
      <w:r>
        <w:fldChar w:fldCharType="separate"/>
      </w:r>
      <w:r>
        <w:rPr>
          <w:rFonts w:hint="eastAsia" w:ascii="楷体_GB2312" w:eastAsia="楷体_GB2312" w:cs="楷体_GB2312"/>
          <w:bCs/>
          <w:szCs w:val="32"/>
        </w:rPr>
        <w:t>（四）应届高校毕业生</w:t>
      </w:r>
      <w:r>
        <w:tab/>
      </w:r>
      <w:r>
        <w:fldChar w:fldCharType="begin"/>
      </w:r>
      <w:r>
        <w:instrText xml:space="preserve">PageRef _Toc36069242 \h</w:instrText>
      </w:r>
      <w:r>
        <w:fldChar w:fldCharType="separate"/>
      </w:r>
      <w:r>
        <w:t>18</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"_Toc36069243"</w:instrText>
      </w:r>
      <w:r>
        <w:fldChar w:fldCharType="separate"/>
      </w:r>
      <w:r>
        <w:rPr>
          <w:rFonts w:hint="eastAsia" w:ascii="楷体_GB2312" w:eastAsia="楷体_GB2312" w:cs="楷体_GB2312"/>
          <w:bCs/>
          <w:szCs w:val="32"/>
          <w:lang w:eastAsia="zh-CN"/>
        </w:rPr>
        <w:t>（</w:t>
      </w:r>
      <w:r>
        <w:rPr>
          <w:rFonts w:ascii="楷体_GB2312" w:eastAsia="楷体_GB2312" w:cs="楷体_GB2312"/>
          <w:bCs/>
          <w:szCs w:val="32"/>
          <w:lang w:val="en-US" w:eastAsia="zh-CN"/>
        </w:rPr>
        <w:t>五</w:t>
      </w:r>
      <w:r>
        <w:rPr>
          <w:rFonts w:hint="eastAsia" w:ascii="楷体_GB2312" w:eastAsia="楷体_GB2312" w:cs="楷体_GB2312"/>
          <w:bCs/>
          <w:szCs w:val="32"/>
          <w:lang w:eastAsia="zh-CN"/>
        </w:rPr>
        <w:t>）港澳台人员</w:t>
      </w:r>
      <w:r>
        <w:tab/>
      </w:r>
      <w:r>
        <w:fldChar w:fldCharType="begin"/>
      </w:r>
      <w:r>
        <w:instrText xml:space="preserve">PageRef _Toc36069243 \h</w:instrText>
      </w:r>
      <w:r>
        <w:fldChar w:fldCharType="separate"/>
      </w:r>
      <w:r>
        <w:t>19</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"_Toc36069244"</w:instrText>
      </w:r>
      <w:r>
        <w:fldChar w:fldCharType="separate"/>
      </w:r>
      <w:r>
        <w:rPr>
          <w:rFonts w:hint="eastAsia" w:ascii="楷体_GB2312" w:eastAsia="楷体_GB2312" w:cs="楷体_GB2312"/>
          <w:bCs/>
          <w:szCs w:val="32"/>
          <w:lang w:eastAsia="zh-CN"/>
        </w:rPr>
        <w:t>（</w:t>
      </w:r>
      <w:r>
        <w:rPr>
          <w:rFonts w:ascii="楷体_GB2312" w:eastAsia="楷体_GB2312" w:cs="楷体_GB2312"/>
          <w:bCs/>
          <w:szCs w:val="32"/>
          <w:lang w:val="en-US" w:eastAsia="zh-CN"/>
        </w:rPr>
        <w:t>六</w:t>
      </w:r>
      <w:r>
        <w:rPr>
          <w:rFonts w:hint="eastAsia" w:ascii="楷体_GB2312" w:eastAsia="楷体_GB2312" w:cs="楷体_GB2312"/>
          <w:bCs/>
          <w:szCs w:val="32"/>
          <w:lang w:eastAsia="zh-CN"/>
        </w:rPr>
        <w:t>）技工院校毕业生</w:t>
      </w:r>
      <w:r>
        <w:tab/>
      </w:r>
      <w:r>
        <w:fldChar w:fldCharType="begin"/>
      </w:r>
      <w:r>
        <w:instrText xml:space="preserve">PageRef _Toc36069244 \h</w:instrText>
      </w:r>
      <w:r>
        <w:fldChar w:fldCharType="separate"/>
      </w:r>
      <w:r>
        <w:t>20</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"_Toc36069245"</w:instrText>
      </w:r>
      <w:r>
        <w:fldChar w:fldCharType="separate"/>
      </w:r>
      <w:r>
        <w:rPr>
          <w:rFonts w:hint="eastAsia" w:ascii="黑体" w:eastAsia="黑体" w:cs="黑体"/>
          <w:bCs w:val="0"/>
          <w:szCs w:val="32"/>
          <w:lang w:val="en-US" w:eastAsia="zh-CN"/>
        </w:rPr>
        <w:t>十五、</w:t>
      </w:r>
      <w:r>
        <w:rPr>
          <w:rFonts w:hint="eastAsia" w:ascii="黑体" w:eastAsia="黑体" w:cs="黑体"/>
          <w:bCs w:val="0"/>
          <w:szCs w:val="32"/>
        </w:rPr>
        <w:t>网上报名操作须知</w:t>
      </w:r>
      <w:r>
        <w:tab/>
      </w:r>
      <w:r>
        <w:fldChar w:fldCharType="begin"/>
      </w:r>
      <w:r>
        <w:instrText xml:space="preserve">PageRef _Toc36069245 \h</w:instrText>
      </w:r>
      <w:r>
        <w:fldChar w:fldCharType="separate"/>
      </w:r>
      <w:r>
        <w:t>20</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"_Toc36069246"</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一</w:t>
      </w:r>
      <w:r>
        <w:rPr>
          <w:rFonts w:hint="eastAsia" w:ascii="楷体_GB2312" w:eastAsia="楷体_GB2312" w:cs="楷体_GB2312"/>
          <w:bCs/>
          <w:szCs w:val="32"/>
          <w:lang w:eastAsia="zh-CN"/>
        </w:rPr>
        <w:t>）个人密码重置</w:t>
      </w:r>
      <w:r>
        <w:tab/>
      </w:r>
      <w:r>
        <w:fldChar w:fldCharType="begin"/>
      </w:r>
      <w:r>
        <w:instrText xml:space="preserve">PageRef _Toc36069246 \h</w:instrText>
      </w:r>
      <w:r>
        <w:fldChar w:fldCharType="separate"/>
      </w:r>
      <w:r>
        <w:t>20</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"_Toc36069247"</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二</w:t>
      </w:r>
      <w:r>
        <w:rPr>
          <w:rFonts w:hint="eastAsia" w:ascii="楷体_GB2312" w:eastAsia="楷体_GB2312" w:cs="楷体_GB2312"/>
          <w:bCs/>
          <w:szCs w:val="32"/>
          <w:lang w:eastAsia="zh-CN"/>
        </w:rPr>
        <w:t>）报名信息填写</w:t>
      </w:r>
      <w:r>
        <w:tab/>
      </w:r>
      <w:r>
        <w:fldChar w:fldCharType="begin"/>
      </w:r>
      <w:r>
        <w:instrText xml:space="preserve">PageRef _Toc36069247 \h</w:instrText>
      </w:r>
      <w:r>
        <w:fldChar w:fldCharType="separate"/>
      </w:r>
      <w:r>
        <w:t>20</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"_Toc36069248"</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三</w:t>
      </w:r>
      <w:r>
        <w:rPr>
          <w:rFonts w:hint="eastAsia" w:ascii="楷体_GB2312" w:eastAsia="楷体_GB2312" w:cs="楷体_GB2312"/>
          <w:bCs/>
          <w:szCs w:val="32"/>
          <w:lang w:eastAsia="zh-CN"/>
        </w:rPr>
        <w:t>）报名次数限定</w:t>
      </w:r>
      <w:r>
        <w:tab/>
      </w:r>
      <w:r>
        <w:fldChar w:fldCharType="begin"/>
      </w:r>
      <w:r>
        <w:instrText xml:space="preserve">PageRef _Toc36069248 \h</w:instrText>
      </w:r>
      <w:r>
        <w:fldChar w:fldCharType="separate"/>
      </w:r>
      <w:r>
        <w:t>21</w:t>
      </w:r>
      <w:r>
        <w:fldChar w:fldCharType="end"/>
      </w:r>
      <w:r>
        <w:fldChar w:fldCharType="end"/>
      </w:r>
    </w:p>
    <w:p>
      <w:pPr>
        <w:pStyle w:val="11"/>
        <w:keepNext w:val="0"/>
        <w:keepLines w:val="0"/>
        <w:pageBreakBefore w:val="0"/>
        <w:widowControl w:val="0"/>
        <w:tabs>
          <w:tab w:val="right" w:leader="dot" w:pos="8845"/>
        </w:tabs>
      </w:pPr>
      <w:r>
        <w:fldChar w:fldCharType="begin"/>
      </w:r>
      <w:r>
        <w:instrText xml:space="preserve">Hyperlink \l "_Toc36069249"</w:instrText>
      </w:r>
      <w:r>
        <w:fldChar w:fldCharType="separate"/>
      </w:r>
      <w:r>
        <w:rPr>
          <w:rFonts w:hint="eastAsia" w:ascii="楷体_GB2312" w:eastAsia="楷体_GB2312" w:cs="楷体_GB2312"/>
          <w:bCs/>
          <w:szCs w:val="32"/>
          <w:lang w:eastAsia="zh-CN"/>
        </w:rPr>
        <w:t>（</w:t>
      </w:r>
      <w:r>
        <w:rPr>
          <w:rFonts w:hint="eastAsia" w:ascii="楷体_GB2312" w:eastAsia="楷体_GB2312" w:cs="楷体_GB2312"/>
          <w:bCs/>
          <w:szCs w:val="32"/>
          <w:lang w:val="en-US" w:eastAsia="zh-CN"/>
        </w:rPr>
        <w:t>四</w:t>
      </w:r>
      <w:r>
        <w:rPr>
          <w:rFonts w:hint="eastAsia" w:ascii="楷体_GB2312" w:eastAsia="楷体_GB2312" w:cs="楷体_GB2312"/>
          <w:bCs/>
          <w:szCs w:val="32"/>
          <w:lang w:eastAsia="zh-CN"/>
        </w:rPr>
        <w:t>）申诉注意事项</w:t>
      </w:r>
      <w:r>
        <w:tab/>
      </w:r>
      <w:r>
        <w:fldChar w:fldCharType="begin"/>
      </w:r>
      <w:r>
        <w:instrText xml:space="preserve">PageRef _Toc36069249 \h</w:instrText>
      </w:r>
      <w:r>
        <w:fldChar w:fldCharType="separate"/>
      </w:r>
      <w:r>
        <w:t>21</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"_Toc36069250"</w:instrText>
      </w:r>
      <w:r>
        <w:fldChar w:fldCharType="separate"/>
      </w:r>
      <w:r>
        <w:rPr>
          <w:rFonts w:hint="eastAsia" w:ascii="黑体" w:eastAsia="黑体" w:cs="黑体"/>
          <w:bCs w:val="0"/>
          <w:szCs w:val="32"/>
          <w:lang w:val="en-US" w:eastAsia="zh-CN"/>
        </w:rPr>
        <w:t>十六、</w:t>
      </w:r>
      <w:r>
        <w:rPr>
          <w:rFonts w:hint="eastAsia" w:ascii="黑体" w:eastAsia="黑体" w:cs="黑体"/>
          <w:bCs w:val="0"/>
          <w:szCs w:val="32"/>
        </w:rPr>
        <w:t>疫情防控要求</w:t>
      </w:r>
      <w:r>
        <w:tab/>
      </w:r>
      <w:r>
        <w:fldChar w:fldCharType="begin"/>
      </w:r>
      <w:r>
        <w:instrText xml:space="preserve">PageRef _Toc36069250 \h</w:instrText>
      </w:r>
      <w:r>
        <w:fldChar w:fldCharType="separate"/>
      </w:r>
      <w:r>
        <w:t>22</w:t>
      </w:r>
      <w:r>
        <w:fldChar w:fldCharType="end"/>
      </w:r>
      <w:r>
        <w:fldChar w:fldCharType="end"/>
      </w:r>
    </w:p>
    <w:p>
      <w:pPr>
        <w:pStyle w:val="10"/>
        <w:keepNext w:val="0"/>
        <w:keepLines w:val="0"/>
        <w:pageBreakBefore w:val="0"/>
        <w:widowControl w:val="0"/>
        <w:tabs>
          <w:tab w:val="right" w:leader="dot" w:pos="8845"/>
        </w:tabs>
      </w:pPr>
      <w:r>
        <w:fldChar w:fldCharType="begin"/>
      </w:r>
      <w:r>
        <w:instrText xml:space="preserve">Hyperlink \l "_Toc36069251"</w:instrText>
      </w:r>
      <w:r>
        <w:fldChar w:fldCharType="separate"/>
      </w:r>
      <w:r>
        <w:rPr>
          <w:rFonts w:hint="eastAsia" w:ascii="黑体" w:eastAsia="黑体" w:cs="黑体"/>
          <w:szCs w:val="32"/>
        </w:rPr>
        <w:t>附件</w:t>
      </w:r>
      <w:r>
        <w:tab/>
      </w:r>
      <w:r>
        <w:fldChar w:fldCharType="begin"/>
      </w:r>
      <w:r>
        <w:instrText xml:space="preserve">PageRef _Toc36069251 \h</w:instrText>
      </w:r>
      <w:r>
        <w:fldChar w:fldCharType="separate"/>
      </w:r>
      <w:r>
        <w:t>23</w:t>
      </w:r>
      <w:r>
        <w:fldChar w:fldCharType="end"/>
      </w:r>
      <w:r>
        <w:fldChar w:fldCharType="end"/>
      </w:r>
      <w:r>
        <w:rPr>
          <w:rFonts w:asci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snapToGrid w:val="0"/>
        <w:spacing w:line="560" w:lineRule="exact"/>
        <w:ind w:left="0"/>
        <w:textAlignment w:val="auto"/>
        <w:rPr>
          <w:rFonts w:ascii="仿宋" w:eastAsia="仿宋" w:cs="仿宋"/>
          <w:color w:val="auto"/>
          <w:sz w:val="24"/>
          <w:szCs w:val="24"/>
        </w:rPr>
        <w:sectPr>
          <w:footerReference r:id="rId3" w:type="default"/>
          <w:pgSz w:w="11906" w:h="16838"/>
          <w:pgMar w:top="2098" w:right="1474" w:bottom="1984" w:left="1587" w:header="851" w:footer="992" w:gutter="0"/>
          <w:pgNumType w:start="1"/>
          <w:rtlGutter w:val="1"/>
          <w:docGrid w:type="lines" w:linePitch="312" w:charSpace="0"/>
        </w:sectPr>
      </w:pP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w:t>
      </w:r>
      <w:r>
        <w:rPr>
          <w:rFonts w:hint="eastAsia" w:ascii="仿宋_GB2312" w:eastAsia="仿宋_GB2312" w:cs="仿宋_GB2312"/>
          <w:color w:val="auto"/>
          <w:sz w:val="32"/>
          <w:szCs w:val="32"/>
          <w:lang w:val="en-US" w:eastAsia="zh-CN"/>
        </w:rPr>
        <w:t>须知</w:t>
      </w:r>
      <w:r>
        <w:rPr>
          <w:rFonts w:hint="eastAsia" w:ascii="仿宋_GB2312" w:eastAsia="仿宋_GB2312" w:cs="仿宋_GB2312"/>
          <w:color w:val="auto"/>
          <w:sz w:val="32"/>
          <w:szCs w:val="32"/>
        </w:rPr>
        <w:t>仅适用于厦门市</w:t>
      </w:r>
      <w:r>
        <w:rPr>
          <w:rFonts w:hint="eastAsia" w:ascii="仿宋_GB2312" w:eastAsia="仿宋_GB2312" w:cs="仿宋_GB2312"/>
          <w:color w:val="auto"/>
          <w:sz w:val="32"/>
          <w:szCs w:val="32"/>
          <w:lang w:val="en-US" w:eastAsia="zh-CN"/>
        </w:rPr>
        <w:t>湖里区</w:t>
      </w:r>
      <w:r>
        <w:rPr>
          <w:rFonts w:hint="eastAsia" w:ascii="仿宋_GB2312" w:eastAsia="仿宋_GB2312" w:cs="仿宋_GB2312"/>
          <w:color w:val="auto"/>
          <w:sz w:val="32"/>
          <w:szCs w:val="32"/>
        </w:rPr>
        <w:t>所属卫生事业单位招聘编内工作人员考试（202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5</w:t>
      </w:r>
      <w:r>
        <w:rPr>
          <w:rFonts w:hint="eastAsia" w:ascii="仿宋_GB2312" w:eastAsia="仿宋_GB2312" w:cs="仿宋_GB2312"/>
          <w:color w:val="auto"/>
          <w:sz w:val="32"/>
          <w:szCs w:val="32"/>
        </w:rPr>
        <w:t>月），由厦门市</w:t>
      </w:r>
      <w:r>
        <w:rPr>
          <w:rFonts w:hint="eastAsia" w:ascii="仿宋_GB2312" w:eastAsia="仿宋_GB2312" w:cs="仿宋_GB2312"/>
          <w:color w:val="auto"/>
          <w:sz w:val="32"/>
          <w:szCs w:val="32"/>
          <w:lang w:val="en-US" w:eastAsia="zh-CN"/>
        </w:rPr>
        <w:t>湖里区</w:t>
      </w:r>
      <w:r>
        <w:rPr>
          <w:rFonts w:hint="eastAsia" w:ascii="仿宋_GB2312" w:eastAsia="仿宋_GB2312" w:cs="仿宋_GB2312"/>
          <w:color w:val="auto"/>
          <w:sz w:val="32"/>
          <w:szCs w:val="32"/>
        </w:rPr>
        <w:t>人力资源和社会保障局（以下简称“区人社局”）负责解释。</w:t>
      </w:r>
    </w:p>
    <w:p>
      <w:pPr>
        <w:keepNext w:val="0"/>
        <w:keepLines w:val="0"/>
        <w:pageBreakBefore w:val="0"/>
        <w:widowControl w:val="0"/>
        <w:tabs>
          <w:tab w:val="left" w:pos="0"/>
        </w:tabs>
        <w:kinsoku/>
        <w:wordWrap/>
        <w:overflowPunct/>
        <w:topLinePunct w:val="0"/>
        <w:autoSpaceDE/>
        <w:autoSpaceDN/>
        <w:bidi w:val="0"/>
        <w:snapToGrid w:val="0"/>
        <w:spacing w:line="579" w:lineRule="exact"/>
        <w:ind w:left="0" w:firstLine="640" w:firstLineChars="200"/>
        <w:jc w:val="both"/>
        <w:textAlignment w:val="auto"/>
        <w:outlineLvl w:val="0"/>
        <w:rPr>
          <w:rFonts w:hint="eastAsia" w:ascii="黑体" w:eastAsia="黑体" w:cs="黑体"/>
          <w:b w:val="0"/>
          <w:bCs w:val="0"/>
          <w:color w:val="auto"/>
          <w:sz w:val="32"/>
          <w:szCs w:val="32"/>
        </w:rPr>
      </w:pPr>
      <w:bookmarkStart w:id="1" w:name="_Toc36069198"/>
      <w:r>
        <w:rPr>
          <w:rFonts w:hint="eastAsia" w:ascii="黑体" w:eastAsia="黑体" w:cs="黑体"/>
          <w:b w:val="0"/>
          <w:bCs w:val="0"/>
          <w:color w:val="auto"/>
          <w:sz w:val="32"/>
          <w:szCs w:val="32"/>
          <w:lang w:val="en-US" w:eastAsia="zh-CN"/>
        </w:rPr>
        <w:t>一、</w:t>
      </w:r>
      <w:r>
        <w:rPr>
          <w:rFonts w:hint="eastAsia" w:ascii="黑体" w:eastAsia="黑体" w:cs="黑体"/>
          <w:b w:val="0"/>
          <w:bCs w:val="0"/>
          <w:color w:val="auto"/>
          <w:sz w:val="32"/>
          <w:szCs w:val="32"/>
        </w:rPr>
        <w:t>基本条件</w:t>
      </w:r>
      <w:bookmarkEnd w:id="1"/>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bookmarkStart w:id="2" w:name="_Toc19262_WPSOffice_Level2"/>
      <w:bookmarkStart w:id="3" w:name="_Toc17638_WPSOffice_Level2"/>
      <w:bookmarkStart w:id="4" w:name="_Toc29243_WPSOffice_Level2"/>
      <w:bookmarkStart w:id="5" w:name="_Toc9119_WPSOffice_Level2"/>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一</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具有中华人民共和国国籍；</w:t>
      </w:r>
      <w:bookmarkEnd w:id="2"/>
      <w:bookmarkEnd w:id="3"/>
      <w:bookmarkEnd w:id="4"/>
      <w:bookmarkEnd w:id="5"/>
      <w:bookmarkStart w:id="6" w:name="_Toc4207_WPSOffice_Level2"/>
      <w:bookmarkStart w:id="7" w:name="_Toc17350_WPSOffice_Level2"/>
      <w:bookmarkStart w:id="8" w:name="_Toc11941_WPSOffice_Level2"/>
      <w:bookmarkStart w:id="9" w:name="_Toc12392_WPSOffice_Level2"/>
    </w:p>
    <w:bookmarkEnd w:id="6"/>
    <w:bookmarkEnd w:id="7"/>
    <w:bookmarkEnd w:id="8"/>
    <w:bookmarkEnd w:id="9"/>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bookmarkStart w:id="10" w:name="_Toc7847_WPSOffice_Level2"/>
      <w:bookmarkStart w:id="11" w:name="_Toc20094_WPSOffice_Level2"/>
      <w:bookmarkStart w:id="12" w:name="_Toc6014_WPSOffice_Level2"/>
      <w:bookmarkStart w:id="13" w:name="_Toc9634_WPSOffice_Level2"/>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二</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拥护中华人民共和国宪法,拥护中国共产党领导和社会主义制度；</w:t>
      </w:r>
      <w:bookmarkEnd w:id="10"/>
      <w:bookmarkEnd w:id="11"/>
      <w:bookmarkEnd w:id="12"/>
      <w:bookmarkEnd w:id="13"/>
      <w:bookmarkStart w:id="14" w:name="_Toc6870_WPSOffice_Level2"/>
      <w:bookmarkStart w:id="15" w:name="_Toc27016_WPSOffice_Level2"/>
      <w:bookmarkStart w:id="16" w:name="_Toc13849_WPSOffice_Level2"/>
      <w:bookmarkStart w:id="17" w:name="_Toc30877_WPSOffice_Level2"/>
      <w:r>
        <w:rPr>
          <w:rFonts w:hint="eastAsia" w:ascii="仿宋_GB2312" w:eastAsia="仿宋_GB2312" w:cs="仿宋_GB2312"/>
          <w:color w:val="auto"/>
          <w:sz w:val="32"/>
          <w:szCs w:val="32"/>
        </w:rPr>
        <w:t xml:space="preserve"> </w:t>
      </w:r>
    </w:p>
    <w:bookmarkEnd w:id="14"/>
    <w:bookmarkEnd w:id="15"/>
    <w:bookmarkEnd w:id="16"/>
    <w:bookmarkEnd w:id="17"/>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bookmarkStart w:id="18" w:name="_Toc19929_WPSOffice_Level2"/>
      <w:bookmarkStart w:id="19" w:name="_Toc10788_WPSOffice_Level2"/>
      <w:bookmarkStart w:id="20" w:name="_Toc4758_WPSOffice_Level2"/>
      <w:bookmarkStart w:id="21" w:name="_Toc26060_WPSOffice_Level2"/>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三</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具有良好的政治素质和道德品行，具有正常履行职责的身心条件；</w:t>
      </w:r>
    </w:p>
    <w:bookmarkEnd w:id="18"/>
    <w:bookmarkEnd w:id="19"/>
    <w:bookmarkEnd w:id="20"/>
    <w:bookmarkEnd w:id="21"/>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（四）18周岁以上、35周岁以下（在198</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tabs>
          <w:tab w:val="left" w:pos="0"/>
        </w:tabs>
        <w:kinsoku/>
        <w:wordWrap/>
        <w:overflowPunct/>
        <w:topLinePunct w:val="0"/>
        <w:autoSpaceDE/>
        <w:autoSpaceDN/>
        <w:bidi w:val="0"/>
        <w:snapToGrid w:val="0"/>
        <w:spacing w:line="579" w:lineRule="exact"/>
        <w:ind w:left="0" w:firstLine="640" w:firstLineChars="200"/>
        <w:jc w:val="both"/>
        <w:textAlignment w:val="auto"/>
        <w:outlineLvl w:val="0"/>
        <w:rPr>
          <w:rFonts w:hint="eastAsia" w:ascii="黑体" w:eastAsia="黑体" w:cs="黑体"/>
          <w:b w:val="0"/>
          <w:bCs w:val="0"/>
          <w:color w:val="auto"/>
          <w:sz w:val="32"/>
          <w:szCs w:val="32"/>
        </w:rPr>
      </w:pPr>
      <w:bookmarkStart w:id="22" w:name="_Toc36069199"/>
      <w:r>
        <w:rPr>
          <w:rFonts w:hint="eastAsia" w:ascii="黑体" w:eastAsia="黑体" w:cs="黑体"/>
          <w:b w:val="0"/>
          <w:bCs w:val="0"/>
          <w:color w:val="auto"/>
          <w:sz w:val="32"/>
          <w:szCs w:val="32"/>
          <w:lang w:val="en-US" w:eastAsia="zh-CN"/>
        </w:rPr>
        <w:t>二、</w:t>
      </w:r>
      <w:r>
        <w:rPr>
          <w:rFonts w:hint="eastAsia" w:ascii="黑体" w:eastAsia="黑体" w:cs="黑体"/>
          <w:b w:val="0"/>
          <w:bCs w:val="0"/>
          <w:color w:val="auto"/>
          <w:sz w:val="32"/>
          <w:szCs w:val="32"/>
        </w:rPr>
        <w:t>不得报考或取消报考（聘用）资格的情形</w:t>
      </w:r>
      <w:bookmarkEnd w:id="22"/>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（一）曾因犯罪受过刑事处罚的；</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w:t>
      </w: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lang w:val="en-US" w:eastAsia="zh-CN"/>
        </w:rPr>
      </w:pPr>
      <w:r>
        <w:rPr>
          <w:rFonts w:hint="eastAsia" w:ascii="仿宋_GB2312" w:eastAsia="仿宋_GB2312" w:cs="仿宋_GB2312"/>
          <w:color w:val="auto"/>
          <w:sz w:val="32"/>
          <w:szCs w:val="32"/>
        </w:rPr>
        <w:t>（三）</w:t>
      </w: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（四）在各级公务员或事业单位招考中被认定有舞弊等严重违反录(聘)用纪律行为的；</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五</w:t>
      </w:r>
      <w:r>
        <w:rPr>
          <w:rFonts w:hint="eastAsia" w:ascii="仿宋_GB2312" w:eastAsia="仿宋_GB2312" w:cs="仿宋_GB2312"/>
          <w:color w:val="auto"/>
          <w:sz w:val="32"/>
          <w:szCs w:val="32"/>
          <w:lang w:eastAsia="zh-CN"/>
        </w:rPr>
        <w:t>）</w:t>
      </w:r>
      <w:r>
        <w:rPr>
          <w:rFonts w:hint="eastAsia" w:ascii="仿宋_GB2312" w:eastAsia="仿宋_GB2312"/>
          <w:color w:val="auto"/>
          <w:sz w:val="32"/>
          <w:szCs w:val="32"/>
          <w:highlight w:val="none"/>
        </w:rPr>
        <w:t>公务员或参照公务员法管理机关（单位）工作人员（以下简称“参公人员”）被辞退未满5年的</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w:t>
      </w:r>
      <w:r>
        <w:rPr>
          <w:rFonts w:hint="eastAsia" w:ascii="仿宋_GB2312" w:eastAsia="仿宋_GB2312" w:cs="仿宋_GB2312"/>
          <w:color w:val="auto"/>
          <w:sz w:val="32"/>
          <w:szCs w:val="32"/>
          <w:lang w:val="en-US" w:eastAsia="zh-CN"/>
        </w:rPr>
        <w:t>试用期内的公务员或参公人员；未达到与当地公务员主管部门或单位组织人事部门约定服务年限的公务员和参公人员</w:t>
      </w:r>
      <w:r>
        <w:rPr>
          <w:rFonts w:hint="eastAsia" w:ascii="仿宋_GB2312" w:eastAsia="仿宋_GB2312"/>
          <w:strike w:val="0"/>
          <w:dstrike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七</w:t>
      </w:r>
      <w:r>
        <w:rPr>
          <w:rFonts w:hint="eastAsia" w:ascii="仿宋_GB2312" w:eastAsia="仿宋_GB2312" w:cs="仿宋_GB2312"/>
          <w:color w:val="auto"/>
          <w:sz w:val="32"/>
          <w:szCs w:val="32"/>
        </w:rPr>
        <w:t>）</w:t>
      </w: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w:t>
      </w: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r>
        <w:rPr>
          <w:rFonts w:hint="eastAsia" w:asci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eastAsia="zh-CN"/>
        </w:rPr>
        <w:t>（九）</w:t>
      </w:r>
      <w:r>
        <w:rPr>
          <w:rFonts w:hint="eastAsia" w:ascii="仿宋_GB2312" w:eastAsia="仿宋_GB2312" w:cs="仿宋_GB2312"/>
          <w:color w:val="auto"/>
          <w:sz w:val="32"/>
          <w:szCs w:val="32"/>
        </w:rPr>
        <w:t>聘用后即构成应回避关系的；</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（十一）工作期间曾发生医疗事故负有主要责任的；</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 xml:space="preserve">（十二）法律法规规章规定不得聘为事业单位人员的。 </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pPr>
        <w:keepNext w:val="0"/>
        <w:keepLines w:val="0"/>
        <w:pageBreakBefore w:val="0"/>
        <w:widowControl w:val="0"/>
        <w:tabs>
          <w:tab w:val="left" w:pos="0"/>
        </w:tabs>
        <w:kinsoku/>
        <w:wordWrap/>
        <w:overflowPunct/>
        <w:topLinePunct w:val="0"/>
        <w:autoSpaceDE/>
        <w:autoSpaceDN/>
        <w:bidi w:val="0"/>
        <w:snapToGrid w:val="0"/>
        <w:spacing w:line="579" w:lineRule="exact"/>
        <w:ind w:left="0" w:firstLine="640" w:firstLineChars="200"/>
        <w:jc w:val="both"/>
        <w:textAlignment w:val="auto"/>
        <w:outlineLvl w:val="0"/>
        <w:rPr>
          <w:rFonts w:hint="eastAsia" w:ascii="黑体" w:eastAsia="黑体" w:cs="黑体"/>
          <w:b w:val="0"/>
          <w:bCs w:val="0"/>
          <w:color w:val="auto"/>
          <w:sz w:val="32"/>
          <w:szCs w:val="32"/>
        </w:rPr>
      </w:pPr>
      <w:bookmarkStart w:id="23" w:name="_Toc36069200"/>
      <w:r>
        <w:rPr>
          <w:rFonts w:hint="eastAsia" w:ascii="黑体" w:eastAsia="黑体" w:cs="黑体"/>
          <w:b w:val="0"/>
          <w:bCs w:val="0"/>
          <w:color w:val="auto"/>
          <w:sz w:val="32"/>
          <w:szCs w:val="32"/>
          <w:lang w:val="en-US" w:eastAsia="zh-CN"/>
        </w:rPr>
        <w:t>三、</w:t>
      </w:r>
      <w:r>
        <w:rPr>
          <w:rFonts w:hint="eastAsia" w:ascii="黑体" w:eastAsia="黑体" w:cs="黑体"/>
          <w:b w:val="0"/>
          <w:bCs w:val="0"/>
          <w:color w:val="auto"/>
          <w:sz w:val="32"/>
          <w:szCs w:val="32"/>
        </w:rPr>
        <w:t>选报岗位</w:t>
      </w:r>
      <w:bookmarkEnd w:id="23"/>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24" w:name="_Toc36069201"/>
      <w:r>
        <w:rPr>
          <w:rFonts w:hint="eastAsia" w:ascii="楷体_GB2312" w:eastAsia="楷体_GB2312" w:cs="楷体_GB2312"/>
          <w:b/>
          <w:bCs w:val="0"/>
          <w:color w:val="auto"/>
          <w:sz w:val="32"/>
          <w:szCs w:val="32"/>
        </w:rPr>
        <w:t>（一）报考资格条件确认</w:t>
      </w:r>
      <w:bookmarkEnd w:id="24"/>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1.</w:t>
      </w:r>
      <w:r>
        <w:rPr>
          <w:rFonts w:hint="eastAsia" w:ascii="仿宋_GB2312" w:eastAsia="仿宋_GB2312"/>
          <w:color w:val="auto"/>
          <w:sz w:val="32"/>
          <w:szCs w:val="32"/>
          <w:highlight w:val="none"/>
        </w:rPr>
        <w:t>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条件</w:t>
      </w:r>
      <w:r>
        <w:rPr>
          <w:rFonts w:hint="eastAsia" w:ascii="仿宋_GB2312" w:eastAsia="仿宋_GB2312" w:cs="仿宋_GB2312"/>
          <w:color w:val="auto"/>
          <w:sz w:val="32"/>
          <w:szCs w:val="32"/>
        </w:rPr>
        <w:t xml:space="preserve">。 </w:t>
      </w:r>
    </w:p>
    <w:p>
      <w:pPr>
        <w:keepNext w:val="0"/>
        <w:keepLines w:val="0"/>
        <w:pageBreakBefore w:val="0"/>
        <w:widowControl w:val="0"/>
        <w:shd w:val="clear" w:color="auto" w:fill="auto"/>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color w:val="auto"/>
          <w:sz w:val="32"/>
          <w:szCs w:val="32"/>
          <w:lang w:val="en-US" w:eastAsia="zh-CN"/>
        </w:rPr>
        <w:t>2.</w:t>
      </w:r>
      <w:r>
        <w:rPr>
          <w:rFonts w:hint="eastAsia" w:ascii="仿宋_GB2312" w:eastAsia="仿宋_GB2312" w:cs="仿宋_GB2312"/>
          <w:b w:val="0"/>
          <w:bCs w:val="0"/>
          <w:color w:val="auto"/>
          <w:sz w:val="32"/>
          <w:szCs w:val="32"/>
          <w:u w:val="none"/>
        </w:rPr>
        <w:t>每名报考者只能报考1个岗位，通过资格初审后不得更改，并以通过资格初审的岗位参加考试。</w:t>
      </w:r>
    </w:p>
    <w:p>
      <w:pPr>
        <w:keepNext w:val="0"/>
        <w:keepLines w:val="0"/>
        <w:pageBreakBefore w:val="0"/>
        <w:widowControl w:val="0"/>
        <w:shd w:val="clear" w:color="auto" w:fill="auto"/>
        <w:kinsoku/>
        <w:wordWrap/>
        <w:overflowPunct/>
        <w:topLinePunct w:val="0"/>
        <w:autoSpaceDE/>
        <w:autoSpaceDN/>
        <w:bidi w:val="0"/>
        <w:adjustRightInd w:val="0"/>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rPr>
      </w:pPr>
      <w:r>
        <w:rPr>
          <w:rFonts w:hint="eastAsia" w:ascii="仿宋_GB2312" w:eastAsia="仿宋_GB2312" w:cs="仿宋_GB2312"/>
          <w:b w:val="0"/>
          <w:bCs w:val="0"/>
          <w:color w:val="auto"/>
          <w:sz w:val="32"/>
          <w:szCs w:val="32"/>
          <w:u w:val="none"/>
        </w:rPr>
        <w:t>3.各岗位报名人数统计每天24:00更新一次，</w:t>
      </w:r>
      <w:r>
        <w:rPr>
          <w:rFonts w:hint="eastAsia" w:ascii="仿宋_GB2312" w:eastAsia="仿宋_GB2312" w:cs="仿宋_GB2312"/>
          <w:b w:val="0"/>
          <w:bCs w:val="0"/>
          <w:color w:val="auto"/>
          <w:sz w:val="32"/>
          <w:szCs w:val="32"/>
          <w:u w:val="none"/>
          <w:lang w:val="en-US" w:eastAsia="zh-CN"/>
        </w:rPr>
        <w:t>5</w:t>
      </w:r>
      <w:r>
        <w:rPr>
          <w:rFonts w:hint="eastAsia" w:ascii="仿宋_GB2312" w:eastAsia="仿宋_GB2312" w:cs="仿宋_GB2312"/>
          <w:b w:val="0"/>
          <w:bCs w:val="0"/>
          <w:color w:val="auto"/>
          <w:sz w:val="32"/>
          <w:szCs w:val="32"/>
          <w:u w:val="none"/>
        </w:rPr>
        <w:t>月</w:t>
      </w:r>
      <w:r>
        <w:rPr>
          <w:rFonts w:hint="eastAsia" w:ascii="仿宋_GB2312" w:eastAsia="仿宋_GB2312" w:cs="仿宋_GB2312"/>
          <w:b w:val="0"/>
          <w:bCs w:val="0"/>
          <w:color w:val="auto"/>
          <w:sz w:val="32"/>
          <w:szCs w:val="32"/>
          <w:u w:val="none"/>
          <w:lang w:val="en-US" w:eastAsia="zh-CN"/>
        </w:rPr>
        <w:t>2</w:t>
      </w:r>
      <w:r>
        <w:rPr>
          <w:rFonts w:ascii="仿宋_GB2312" w:eastAsia="仿宋_GB2312" w:cs="仿宋_GB2312"/>
          <w:b w:val="0"/>
          <w:bCs w:val="0"/>
          <w:color w:val="auto"/>
          <w:sz w:val="32"/>
          <w:szCs w:val="32"/>
          <w:u w:val="none"/>
          <w:lang w:val="en-US" w:eastAsia="zh-CN"/>
        </w:rPr>
        <w:t>8</w:t>
      </w:r>
      <w:r>
        <w:rPr>
          <w:rFonts w:hint="eastAsia" w:ascii="仿宋_GB2312" w:eastAsia="仿宋_GB2312" w:cs="仿宋_GB2312"/>
          <w:b w:val="0"/>
          <w:bCs w:val="0"/>
          <w:color w:val="auto"/>
          <w:sz w:val="32"/>
          <w:szCs w:val="32"/>
          <w:u w:val="none"/>
        </w:rPr>
        <w:t>日24:00起不再更新</w:t>
      </w:r>
      <w:r>
        <w:rPr>
          <w:rFonts w:ascii="仿宋_GB2312" w:eastAsia="仿宋_GB2312" w:cs="仿宋_GB2312"/>
          <w:b w:val="0"/>
          <w:bCs w:val="0"/>
          <w:color w:val="auto"/>
          <w:sz w:val="32"/>
          <w:szCs w:val="32"/>
          <w:u w:val="none"/>
        </w:rPr>
        <w:t>。</w:t>
      </w:r>
      <w:r>
        <w:rPr>
          <w:rFonts w:hint="eastAsia" w:ascii="仿宋_GB2312" w:eastAsia="仿宋_GB2312" w:cs="仿宋_GB2312"/>
          <w:sz w:val="32"/>
          <w:szCs w:val="32"/>
        </w:rPr>
        <w:t>请符合报告条件的人员尽早报名，防止出现网络拥堵无法成功报名，错失报考机会</w:t>
      </w:r>
      <w:r>
        <w:rPr>
          <w:rFonts w:hint="eastAsia" w:ascii="仿宋_GB2312" w:eastAsia="仿宋_GB2312" w:cs="仿宋_GB2312"/>
          <w:b w:val="0"/>
          <w:bCs w:val="0"/>
          <w:color w:val="auto"/>
          <w:sz w:val="32"/>
          <w:szCs w:val="32"/>
        </w:rPr>
        <w:t>。</w:t>
      </w:r>
    </w:p>
    <w:p>
      <w:pPr>
        <w:keepNext w:val="0"/>
        <w:keepLines w:val="0"/>
        <w:pageBreakBefore w:val="0"/>
        <w:widowControl w:val="0"/>
        <w:shd w:val="clear" w:color="auto" w:fill="auto"/>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25" w:name="_Toc36069202"/>
      <w:r>
        <w:rPr>
          <w:rFonts w:hint="eastAsia" w:ascii="楷体_GB2312" w:eastAsia="楷体_GB2312" w:cs="楷体_GB2312"/>
          <w:b/>
          <w:bCs w:val="0"/>
          <w:color w:val="auto"/>
          <w:sz w:val="32"/>
          <w:szCs w:val="32"/>
        </w:rPr>
        <w:t>（</w:t>
      </w:r>
      <w:r>
        <w:rPr>
          <w:rFonts w:hint="eastAsia" w:ascii="楷体_GB2312" w:eastAsia="楷体_GB2312" w:cs="楷体_GB2312"/>
          <w:b/>
          <w:bCs w:val="0"/>
          <w:color w:val="auto"/>
          <w:sz w:val="32"/>
          <w:szCs w:val="32"/>
          <w:lang w:eastAsia="zh-CN"/>
        </w:rPr>
        <w:t>二</w:t>
      </w:r>
      <w:r>
        <w:rPr>
          <w:rFonts w:hint="eastAsia" w:ascii="楷体_GB2312" w:eastAsia="楷体_GB2312" w:cs="楷体_GB2312"/>
          <w:b/>
          <w:bCs w:val="0"/>
          <w:color w:val="auto"/>
          <w:sz w:val="32"/>
          <w:szCs w:val="32"/>
        </w:rPr>
        <w:t>）照片要求</w:t>
      </w:r>
      <w:bookmarkEnd w:id="25"/>
    </w:p>
    <w:p>
      <w:pPr>
        <w:keepNext w:val="0"/>
        <w:keepLines w:val="0"/>
        <w:pageBreakBefore w:val="0"/>
        <w:widowControl w:val="0"/>
        <w:shd w:val="clear" w:color="auto" w:fill="auto"/>
        <w:kinsoku/>
        <w:wordWrap/>
        <w:overflowPunct/>
        <w:topLinePunct w:val="0"/>
        <w:autoSpaceDE/>
        <w:autoSpaceDN/>
        <w:bidi w:val="0"/>
        <w:adjustRightInd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请提交近期正面免冠二寸彩色数码证件照（jpg格式，规格200K以下）。</w:t>
      </w:r>
    </w:p>
    <w:p>
      <w:pPr>
        <w:keepNext w:val="0"/>
        <w:keepLines w:val="0"/>
        <w:pageBreakBefore w:val="0"/>
        <w:widowControl w:val="0"/>
        <w:shd w:val="clear" w:color="auto" w:fill="auto"/>
        <w:kinsoku/>
        <w:wordWrap/>
        <w:overflowPunct/>
        <w:topLinePunct w:val="0"/>
        <w:autoSpaceDE/>
        <w:autoSpaceDN/>
        <w:bidi w:val="0"/>
        <w:adjustRightInd w:val="0"/>
        <w:snapToGrid w:val="0"/>
        <w:spacing w:line="579" w:lineRule="exact"/>
        <w:ind w:left="0"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w:t>
      </w:r>
      <w:r>
        <w:rPr>
          <w:rFonts w:hint="eastAsia" w:ascii="仿宋_GB2312" w:eastAsia="仿宋_GB2312" w:cs="仿宋_GB2312"/>
          <w:color w:val="auto"/>
          <w:sz w:val="32"/>
          <w:szCs w:val="32"/>
          <w:lang w:val="en-US" w:eastAsia="zh-CN"/>
        </w:rPr>
        <w:t>其他</w:t>
      </w:r>
      <w:r>
        <w:rPr>
          <w:rFonts w:hint="eastAsia" w:ascii="仿宋_GB2312" w:eastAsia="仿宋_GB2312" w:cs="仿宋_GB2312"/>
          <w:color w:val="auto"/>
          <w:sz w:val="32"/>
          <w:szCs w:val="32"/>
          <w:lang w:eastAsia="zh-CN"/>
        </w:rPr>
        <w:t>难以清晰辨认的。</w:t>
      </w:r>
    </w:p>
    <w:p>
      <w:pPr>
        <w:keepNext w:val="0"/>
        <w:keepLines w:val="0"/>
        <w:pageBreakBefore w:val="0"/>
        <w:widowControl w:val="0"/>
        <w:shd w:val="clear" w:color="auto" w:fill="auto"/>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26" w:name="_Toc36069203"/>
      <w:r>
        <w:rPr>
          <w:rFonts w:hint="eastAsia" w:ascii="楷体_GB2312" w:eastAsia="楷体_GB2312" w:cs="楷体_GB2312"/>
          <w:b/>
          <w:bCs w:val="0"/>
          <w:color w:val="auto"/>
          <w:sz w:val="32"/>
          <w:szCs w:val="32"/>
        </w:rPr>
        <w:t>（</w:t>
      </w:r>
      <w:r>
        <w:rPr>
          <w:rFonts w:hint="eastAsia" w:ascii="楷体_GB2312" w:eastAsia="楷体_GB2312" w:cs="楷体_GB2312"/>
          <w:b/>
          <w:bCs w:val="0"/>
          <w:color w:val="auto"/>
          <w:sz w:val="32"/>
          <w:szCs w:val="32"/>
          <w:lang w:eastAsia="zh-CN"/>
        </w:rPr>
        <w:t>三</w:t>
      </w:r>
      <w:r>
        <w:rPr>
          <w:rFonts w:hint="eastAsia" w:ascii="楷体_GB2312" w:eastAsia="楷体_GB2312" w:cs="楷体_GB2312"/>
          <w:b/>
          <w:bCs w:val="0"/>
          <w:color w:val="auto"/>
          <w:sz w:val="32"/>
          <w:szCs w:val="32"/>
        </w:rPr>
        <w:t>）个人简历</w:t>
      </w:r>
      <w:bookmarkEnd w:id="26"/>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jc w:val="both"/>
        <w:textAlignment w:val="auto"/>
        <w:outlineLvl w:val="9"/>
        <w:rPr>
          <w:rFonts w:hint="eastAsia" w:ascii="仿宋_GB2312" w:eastAsia="仿宋_GB2312" w:cs="仿宋_GB2312"/>
          <w:b/>
          <w:bCs/>
          <w:color w:val="auto"/>
          <w:sz w:val="32"/>
          <w:szCs w:val="32"/>
          <w:highlight w:val="none"/>
          <w:lang w:eastAsia="zh-CN"/>
        </w:rPr>
      </w:pPr>
      <w:bookmarkStart w:id="27" w:name="_Toc11175"/>
      <w:bookmarkStart w:id="28" w:name="_Toc28349"/>
      <w:bookmarkStart w:id="29" w:name="_Toc29293"/>
      <w:bookmarkStart w:id="30" w:name="_Toc5535"/>
      <w:bookmarkStart w:id="31" w:name="_Toc4830"/>
      <w:r>
        <w:rPr>
          <w:rFonts w:hint="eastAsia" w:asci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eastAsia="仿宋_GB2312" w:cs="仿宋_GB2312"/>
          <w:color w:val="auto"/>
          <w:sz w:val="32"/>
          <w:szCs w:val="32"/>
          <w:highlight w:val="none"/>
        </w:rPr>
        <w:t>如实反映各阶段的就学、就业、待业等状态，期间不能中断</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原则上应</w:t>
      </w:r>
      <w:r>
        <w:rPr>
          <w:rFonts w:hint="eastAsia" w:ascii="仿宋_GB2312" w:eastAsia="仿宋_GB2312" w:cs="仿宋_GB2312"/>
          <w:color w:val="auto"/>
          <w:sz w:val="32"/>
          <w:szCs w:val="32"/>
          <w:highlight w:val="none"/>
        </w:rPr>
        <w:t>从高中起填写。</w:t>
      </w:r>
      <w:bookmarkEnd w:id="27"/>
      <w:bookmarkEnd w:id="28"/>
      <w:r>
        <w:rPr>
          <w:rFonts w:hint="eastAsia" w:asci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eastAsia="仿宋_GB2312" w:cs="仿宋_GB2312"/>
          <w:b/>
          <w:bCs/>
          <w:color w:val="auto"/>
          <w:sz w:val="32"/>
          <w:szCs w:val="32"/>
          <w:highlight w:val="none"/>
          <w:lang w:eastAsia="zh-CN"/>
        </w:rPr>
        <w:t>请务必在报名信息提交前完善并确认个人信息无误。</w:t>
      </w:r>
      <w:bookmarkEnd w:id="29"/>
      <w:bookmarkEnd w:id="30"/>
      <w:bookmarkEnd w:id="31"/>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在机关事业单位</w:t>
      </w:r>
      <w:r>
        <w:rPr>
          <w:rFonts w:hint="eastAsia" w:ascii="仿宋_GB2312" w:eastAsia="仿宋_GB2312" w:cs="仿宋_GB2312"/>
          <w:color w:val="auto"/>
          <w:kern w:val="0"/>
          <w:sz w:val="32"/>
          <w:szCs w:val="32"/>
          <w:highlight w:val="none"/>
          <w:lang w:eastAsia="zh-CN"/>
        </w:rPr>
        <w:t>工作</w:t>
      </w:r>
      <w:r>
        <w:rPr>
          <w:rFonts w:hint="eastAsia" w:asci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部队、武警相关单位工作人员</w:t>
      </w:r>
      <w:r>
        <w:rPr>
          <w:rFonts w:hint="eastAsia" w:ascii="仿宋_GB2312" w:eastAsia="仿宋_GB2312" w:cs="仿宋_GB2312"/>
          <w:color w:val="auto"/>
          <w:sz w:val="32"/>
          <w:szCs w:val="32"/>
          <w:highlight w:val="none"/>
          <w:lang w:eastAsia="zh-CN"/>
        </w:rPr>
        <w:t>须注明“现役人员”还是“非现役文职人员”，或者“合同制</w:t>
      </w:r>
      <w:r>
        <w:rPr>
          <w:rFonts w:hint="eastAsia" w:ascii="仿宋_GB2312" w:eastAsia="仿宋_GB2312" w:cs="仿宋_GB2312"/>
          <w:color w:val="auto"/>
          <w:sz w:val="32"/>
          <w:szCs w:val="32"/>
          <w:highlight w:val="none"/>
        </w:rPr>
        <w:t>职员</w:t>
      </w:r>
      <w:r>
        <w:rPr>
          <w:rFonts w:hint="eastAsia" w:ascii="仿宋_GB2312" w:eastAsia="仿宋_GB2312" w:cs="仿宋_GB2312"/>
          <w:color w:val="auto"/>
          <w:sz w:val="32"/>
          <w:szCs w:val="32"/>
          <w:highlight w:val="none"/>
          <w:lang w:eastAsia="zh-CN"/>
        </w:rPr>
        <w:t>”等。</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highlight w:val="none"/>
          <w:lang w:eastAsia="zh-CN"/>
        </w:rPr>
        <w:t>在读人员须注明教育类别是“全日制普教”还是“非全日制普教”</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32" w:name="_Toc36069204"/>
      <w:r>
        <w:rPr>
          <w:rFonts w:hint="eastAsia" w:ascii="楷体_GB2312" w:eastAsia="楷体_GB2312" w:cs="楷体_GB2312"/>
          <w:b/>
          <w:bCs w:val="0"/>
          <w:color w:val="auto"/>
          <w:sz w:val="32"/>
          <w:szCs w:val="32"/>
        </w:rPr>
        <w:t>（</w:t>
      </w:r>
      <w:r>
        <w:rPr>
          <w:rFonts w:hint="eastAsia" w:ascii="楷体_GB2312" w:eastAsia="楷体_GB2312" w:cs="楷体_GB2312"/>
          <w:b/>
          <w:bCs w:val="0"/>
          <w:color w:val="auto"/>
          <w:sz w:val="32"/>
          <w:szCs w:val="32"/>
          <w:lang w:eastAsia="zh-CN"/>
        </w:rPr>
        <w:t>四</w:t>
      </w:r>
      <w:r>
        <w:rPr>
          <w:rFonts w:hint="eastAsia" w:ascii="楷体_GB2312" w:eastAsia="楷体_GB2312" w:cs="楷体_GB2312"/>
          <w:b/>
          <w:bCs w:val="0"/>
          <w:color w:val="auto"/>
          <w:sz w:val="32"/>
          <w:szCs w:val="32"/>
        </w:rPr>
        <w:t>）回避情形</w:t>
      </w:r>
      <w:bookmarkEnd w:id="32"/>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1.夫妻关系;</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2.直系血亲关系，包括祖父母、外祖父母、父母、子女、孙子女、外孙子女;</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3.三代以内旁系血亲关系，包括叔伯姑舅姨、兄弟姐妹、堂兄弟姐妹、表兄弟姐妹、侄子女、甥子女;</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4.近姻亲关系，包括配偶的父母、配偶的兄弟姐妹及其配偶、子女的配偶及子女配偶的父母、三代以内旁系血亲的配偶;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5.其他亲属关系，包括养父母子女、形成抚养关系的继父母子女及由此形成的直系血亲、三代以内旁系血亲和近姻亲关系。</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所称直接上下级领导关系包括：</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1.领导班子正职与副职;</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2.同一内设机构正职与副职;</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3.上级正职、副职与下级正职;</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4.单位无内设机构的，其正职、副职与其他管理人员以及从事审计、财务工作的专业技术人员;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5.内设机构无下一级单位的，其正职、副职与其他管理人员以及从事审计、财务工作的专业技术人员。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从事招聘工作的人员存在应当回避情形的，须实行履职回避。</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outlineLvl w:val="0"/>
        <w:rPr>
          <w:rFonts w:hint="eastAsia" w:ascii="黑体" w:eastAsia="黑体" w:cs="黑体"/>
          <w:b w:val="0"/>
          <w:bCs w:val="0"/>
          <w:color w:val="auto"/>
          <w:sz w:val="32"/>
          <w:szCs w:val="32"/>
        </w:rPr>
      </w:pPr>
      <w:bookmarkStart w:id="33" w:name="_Toc36069205"/>
      <w:r>
        <w:rPr>
          <w:rFonts w:hint="eastAsia" w:ascii="黑体" w:eastAsia="黑体" w:cs="黑体"/>
          <w:b w:val="0"/>
          <w:bCs w:val="0"/>
          <w:color w:val="auto"/>
          <w:sz w:val="32"/>
          <w:szCs w:val="32"/>
          <w:lang w:val="en-US" w:eastAsia="zh-CN"/>
        </w:rPr>
        <w:t>四、</w:t>
      </w:r>
      <w:r>
        <w:rPr>
          <w:rFonts w:hint="eastAsia" w:ascii="黑体" w:eastAsia="黑体" w:cs="黑体"/>
          <w:b w:val="0"/>
          <w:bCs w:val="0"/>
          <w:color w:val="auto"/>
          <w:sz w:val="32"/>
          <w:szCs w:val="32"/>
        </w:rPr>
        <w:t>年龄、资格（历）等的计算办法</w:t>
      </w:r>
      <w:bookmarkEnd w:id="33"/>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b w:val="0"/>
          <w:bCs/>
          <w:color w:val="auto"/>
          <w:sz w:val="32"/>
          <w:szCs w:val="32"/>
          <w:highlight w:val="none"/>
          <w:u w:val="none"/>
        </w:rPr>
      </w:pPr>
      <w:r>
        <w:rPr>
          <w:rFonts w:hint="eastAsia" w:ascii="仿宋_GB2312" w:eastAsia="仿宋_GB2312"/>
          <w:color w:val="auto"/>
          <w:sz w:val="32"/>
          <w:szCs w:val="32"/>
          <w:u w:val="none"/>
          <w:lang w:eastAsia="zh-CN"/>
        </w:rPr>
        <w:t>如无特别说明，</w:t>
      </w:r>
      <w:r>
        <w:rPr>
          <w:rFonts w:hint="eastAsia" w:ascii="仿宋_GB2312" w:eastAsia="仿宋_GB2312"/>
          <w:color w:val="auto"/>
          <w:sz w:val="32"/>
          <w:szCs w:val="32"/>
          <w:highlight w:val="none"/>
          <w:u w:val="none"/>
          <w:lang w:eastAsia="zh-CN"/>
        </w:rPr>
        <w:t>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报名截止当月，即2022年5月</w:t>
      </w:r>
      <w:r>
        <w:rPr>
          <w:rFonts w:hint="eastAsia" w:ascii="仿宋_GB2312" w:eastAsia="仿宋_GB2312" w:cs="仿宋_GB2312"/>
          <w:b w:val="0"/>
          <w:bCs/>
          <w:color w:val="auto"/>
          <w:sz w:val="32"/>
          <w:szCs w:val="32"/>
          <w:highlight w:val="none"/>
          <w:u w:val="none"/>
        </w:rPr>
        <w:t>。</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highlight w:val="none"/>
        </w:rPr>
      </w:pPr>
      <w:bookmarkStart w:id="34" w:name="_Toc36069206"/>
      <w:r>
        <w:rPr>
          <w:rFonts w:hint="eastAsia" w:ascii="楷体_GB2312" w:eastAsia="楷体_GB2312" w:cs="楷体_GB2312"/>
          <w:b/>
          <w:bCs/>
          <w:color w:val="auto"/>
          <w:sz w:val="32"/>
          <w:szCs w:val="32"/>
          <w:highlight w:val="none"/>
          <w:lang w:eastAsia="zh-CN"/>
        </w:rPr>
        <w:t>（</w:t>
      </w:r>
      <w:r>
        <w:rPr>
          <w:rFonts w:hint="eastAsia" w:ascii="楷体_GB2312" w:eastAsia="楷体_GB2312" w:cs="楷体_GB2312"/>
          <w:b/>
          <w:bCs/>
          <w:color w:val="auto"/>
          <w:sz w:val="32"/>
          <w:szCs w:val="32"/>
          <w:highlight w:val="none"/>
          <w:lang w:val="en-US" w:eastAsia="zh-CN"/>
        </w:rPr>
        <w:t>一</w:t>
      </w:r>
      <w:r>
        <w:rPr>
          <w:rFonts w:hint="eastAsia" w:ascii="楷体_GB2312" w:eastAsia="楷体_GB2312" w:cs="楷体_GB2312"/>
          <w:b/>
          <w:bCs/>
          <w:color w:val="auto"/>
          <w:sz w:val="32"/>
          <w:szCs w:val="32"/>
          <w:highlight w:val="none"/>
          <w:lang w:eastAsia="zh-CN"/>
        </w:rPr>
        <w:t>）</w:t>
      </w:r>
      <w:r>
        <w:rPr>
          <w:rFonts w:hint="eastAsia" w:ascii="楷体_GB2312" w:eastAsia="楷体_GB2312" w:cs="楷体_GB2312"/>
          <w:b/>
          <w:bCs/>
          <w:color w:val="auto"/>
          <w:sz w:val="32"/>
          <w:szCs w:val="32"/>
          <w:highlight w:val="none"/>
        </w:rPr>
        <w:t>年龄</w:t>
      </w:r>
      <w:bookmarkEnd w:id="34"/>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最高年龄要求35周岁是指18周岁以上、35周岁以下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在1986年5月至2004年5月期间出生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其他年龄要求</w:t>
      </w:r>
      <w:r>
        <w:rPr>
          <w:rFonts w:hint="eastAsia" w:ascii="仿宋_GB2312" w:eastAsia="仿宋_GB2312" w:cs="仿宋_GB2312"/>
          <w:color w:val="auto"/>
          <w:sz w:val="32"/>
          <w:szCs w:val="32"/>
          <w:lang w:val="en-US" w:eastAsia="zh-CN"/>
        </w:rPr>
        <w:t>按</w:t>
      </w:r>
      <w:r>
        <w:rPr>
          <w:rFonts w:hint="eastAsia" w:ascii="仿宋_GB2312" w:eastAsia="仿宋_GB2312" w:cs="仿宋_GB2312"/>
          <w:color w:val="auto"/>
          <w:sz w:val="32"/>
          <w:szCs w:val="32"/>
        </w:rPr>
        <w:t>此类推。</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lang w:eastAsia="zh-CN"/>
        </w:rPr>
      </w:pPr>
      <w:bookmarkStart w:id="35" w:name="_Toc36069207"/>
      <w:r>
        <w:rPr>
          <w:rFonts w:hint="eastAsia" w:ascii="楷体_GB2312" w:eastAsia="楷体_GB2312" w:cs="楷体_GB2312"/>
          <w:b/>
          <w:bCs/>
          <w:color w:val="auto"/>
          <w:sz w:val="32"/>
          <w:szCs w:val="32"/>
          <w:lang w:eastAsia="zh-CN"/>
        </w:rPr>
        <w:t>（</w:t>
      </w:r>
      <w:r>
        <w:rPr>
          <w:rFonts w:hint="eastAsia" w:ascii="楷体_GB2312" w:eastAsia="楷体_GB2312" w:cs="楷体_GB2312"/>
          <w:b/>
          <w:bCs/>
          <w:color w:val="auto"/>
          <w:sz w:val="32"/>
          <w:szCs w:val="32"/>
          <w:lang w:val="en-US" w:eastAsia="zh-CN"/>
        </w:rPr>
        <w:t>二</w:t>
      </w:r>
      <w:r>
        <w:rPr>
          <w:rFonts w:hint="eastAsia" w:ascii="楷体_GB2312" w:eastAsia="楷体_GB2312" w:cs="楷体_GB2312"/>
          <w:b/>
          <w:bCs/>
          <w:color w:val="auto"/>
          <w:sz w:val="32"/>
          <w:szCs w:val="32"/>
          <w:lang w:eastAsia="zh-CN"/>
        </w:rPr>
        <w:t>）资格（历）等</w:t>
      </w:r>
      <w:bookmarkEnd w:id="35"/>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岗位资格条件、《简章》和《报考</w:t>
      </w:r>
      <w:r>
        <w:rPr>
          <w:rFonts w:hint="eastAsia" w:ascii="仿宋_GB2312" w:eastAsia="仿宋_GB2312" w:cs="仿宋_GB2312"/>
          <w:color w:val="auto"/>
          <w:sz w:val="32"/>
          <w:szCs w:val="32"/>
          <w:lang w:val="en-US" w:eastAsia="zh-CN"/>
        </w:rPr>
        <w:t>须知</w:t>
      </w:r>
      <w:r>
        <w:rPr>
          <w:rFonts w:hint="eastAsia" w:ascii="仿宋_GB2312" w:eastAsia="仿宋_GB2312" w:cs="仿宋_GB2312"/>
          <w:color w:val="auto"/>
          <w:sz w:val="32"/>
          <w:szCs w:val="32"/>
        </w:rPr>
        <w:t>》要求具有××条件以上的，如无特别说明，均含本数。如：具有2年以上工作经</w:t>
      </w:r>
      <w:r>
        <w:rPr>
          <w:rFonts w:hint="eastAsia" w:ascii="仿宋_GB2312" w:eastAsia="仿宋_GB2312" w:cs="仿宋_GB2312"/>
          <w:color w:val="auto"/>
          <w:sz w:val="32"/>
          <w:szCs w:val="32"/>
          <w:lang w:eastAsia="zh-CN"/>
        </w:rPr>
        <w:t>验</w:t>
      </w:r>
      <w:r>
        <w:rPr>
          <w:rFonts w:hint="eastAsia" w:ascii="仿宋_GB2312" w:eastAsia="仿宋_GB2312" w:cs="仿宋_GB2312"/>
          <w:color w:val="auto"/>
          <w:sz w:val="32"/>
          <w:szCs w:val="32"/>
        </w:rPr>
        <w:t>，指截至报名截止当月具有2年或2年以上工作经</w:t>
      </w:r>
      <w:r>
        <w:rPr>
          <w:rFonts w:hint="eastAsia" w:ascii="仿宋_GB2312" w:eastAsia="仿宋_GB2312" w:cs="仿宋_GB2312"/>
          <w:color w:val="auto"/>
          <w:sz w:val="32"/>
          <w:szCs w:val="32"/>
          <w:lang w:eastAsia="zh-CN"/>
        </w:rPr>
        <w:t>验</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outlineLvl w:val="0"/>
        <w:rPr>
          <w:rFonts w:hint="eastAsia" w:ascii="黑体" w:eastAsia="黑体" w:cs="黑体"/>
          <w:b w:val="0"/>
          <w:bCs w:val="0"/>
          <w:color w:val="auto"/>
          <w:sz w:val="32"/>
          <w:szCs w:val="32"/>
        </w:rPr>
      </w:pPr>
      <w:bookmarkStart w:id="36" w:name="_Toc36069208"/>
      <w:r>
        <w:rPr>
          <w:rFonts w:hint="eastAsia" w:ascii="黑体" w:eastAsia="黑体" w:cs="黑体"/>
          <w:b w:val="0"/>
          <w:bCs w:val="0"/>
          <w:color w:val="auto"/>
          <w:sz w:val="32"/>
          <w:szCs w:val="32"/>
          <w:lang w:val="en-US" w:eastAsia="zh-CN"/>
        </w:rPr>
        <w:t>五、</w:t>
      </w:r>
      <w:r>
        <w:rPr>
          <w:rFonts w:hint="eastAsia" w:ascii="黑体" w:eastAsia="黑体" w:cs="黑体"/>
          <w:b w:val="0"/>
          <w:bCs w:val="0"/>
          <w:color w:val="auto"/>
          <w:sz w:val="32"/>
          <w:szCs w:val="32"/>
        </w:rPr>
        <w:t>学历（位）认定</w:t>
      </w:r>
      <w:bookmarkEnd w:id="36"/>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rPr>
      </w:pPr>
      <w:bookmarkStart w:id="37" w:name="_Toc36069209"/>
      <w:r>
        <w:rPr>
          <w:rFonts w:hint="eastAsia" w:ascii="楷体_GB2312" w:eastAsia="楷体_GB2312" w:cs="楷体_GB2312"/>
          <w:b/>
          <w:bCs/>
          <w:color w:val="auto"/>
          <w:sz w:val="32"/>
          <w:szCs w:val="32"/>
        </w:rPr>
        <w:t>（一）境内学历（位）</w:t>
      </w:r>
      <w:bookmarkEnd w:id="37"/>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38" w:name="_Toc36069210"/>
      <w:r>
        <w:rPr>
          <w:rFonts w:hint="eastAsia" w:ascii="楷体_GB2312" w:eastAsia="楷体_GB2312" w:cs="楷体_GB2312"/>
          <w:b/>
          <w:bCs w:val="0"/>
          <w:color w:val="auto"/>
          <w:sz w:val="32"/>
          <w:szCs w:val="32"/>
        </w:rPr>
        <w:t>（二）</w:t>
      </w:r>
      <w:r>
        <w:rPr>
          <w:rFonts w:ascii="楷体_GB2312" w:eastAsia="楷体_GB2312" w:cs="楷体_GB2312"/>
          <w:b/>
          <w:bCs w:val="0"/>
          <w:color w:val="auto"/>
          <w:sz w:val="32"/>
          <w:szCs w:val="32"/>
        </w:rPr>
        <w:t>国（</w:t>
      </w:r>
      <w:r>
        <w:rPr>
          <w:rFonts w:hint="eastAsia" w:ascii="楷体_GB2312" w:eastAsia="楷体_GB2312" w:cs="楷体_GB2312"/>
          <w:b/>
          <w:bCs w:val="0"/>
          <w:color w:val="auto"/>
          <w:sz w:val="32"/>
          <w:szCs w:val="32"/>
        </w:rPr>
        <w:t>境</w:t>
      </w:r>
      <w:r>
        <w:rPr>
          <w:rFonts w:ascii="楷体_GB2312" w:eastAsia="楷体_GB2312" w:cs="楷体_GB2312"/>
          <w:b/>
          <w:bCs w:val="0"/>
          <w:color w:val="auto"/>
          <w:sz w:val="32"/>
          <w:szCs w:val="32"/>
        </w:rPr>
        <w:t>）</w:t>
      </w:r>
      <w:r>
        <w:rPr>
          <w:rFonts w:hint="eastAsia" w:ascii="楷体_GB2312" w:eastAsia="楷体_GB2312" w:cs="楷体_GB2312"/>
          <w:b/>
          <w:bCs w:val="0"/>
          <w:color w:val="auto"/>
          <w:sz w:val="32"/>
          <w:szCs w:val="32"/>
        </w:rPr>
        <w:t>外学历（位）</w:t>
      </w:r>
      <w:bookmarkEnd w:id="38"/>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39" w:name="_Toc36069211"/>
      <w:r>
        <w:rPr>
          <w:rFonts w:hint="eastAsia" w:ascii="楷体_GB2312" w:eastAsia="楷体_GB2312" w:cs="楷体_GB2312"/>
          <w:b/>
          <w:bCs w:val="0"/>
          <w:color w:val="auto"/>
          <w:sz w:val="32"/>
          <w:szCs w:val="32"/>
        </w:rPr>
        <w:t>（</w:t>
      </w:r>
      <w:r>
        <w:rPr>
          <w:rFonts w:hint="eastAsia" w:ascii="楷体_GB2312" w:eastAsia="楷体_GB2312" w:cs="楷体_GB2312"/>
          <w:b/>
          <w:bCs w:val="0"/>
          <w:color w:val="auto"/>
          <w:sz w:val="32"/>
          <w:szCs w:val="32"/>
          <w:lang w:eastAsia="zh-CN"/>
        </w:rPr>
        <w:t>三</w:t>
      </w:r>
      <w:r>
        <w:rPr>
          <w:rFonts w:hint="eastAsia" w:ascii="楷体_GB2312" w:eastAsia="楷体_GB2312" w:cs="楷体_GB2312"/>
          <w:b/>
          <w:bCs w:val="0"/>
          <w:color w:val="auto"/>
          <w:sz w:val="32"/>
          <w:szCs w:val="32"/>
        </w:rPr>
        <w:t>）我省“双学位”“双专业”学历</w:t>
      </w:r>
      <w:bookmarkEnd w:id="3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line="579" w:lineRule="exact"/>
        <w:ind w:left="0" w:firstLine="600"/>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rPr>
      </w:pPr>
      <w:bookmarkStart w:id="40" w:name="_Toc36069212"/>
      <w:r>
        <w:rPr>
          <w:rFonts w:hint="eastAsia" w:ascii="楷体_GB2312" w:eastAsia="楷体_GB2312" w:cs="楷体_GB2312"/>
          <w:b/>
          <w:bCs/>
          <w:color w:val="auto"/>
          <w:sz w:val="32"/>
          <w:szCs w:val="32"/>
        </w:rPr>
        <w:t>（</w:t>
      </w:r>
      <w:r>
        <w:rPr>
          <w:rFonts w:hint="eastAsia" w:ascii="楷体_GB2312" w:eastAsia="楷体_GB2312" w:cs="楷体_GB2312"/>
          <w:b/>
          <w:bCs/>
          <w:color w:val="auto"/>
          <w:sz w:val="32"/>
          <w:szCs w:val="32"/>
          <w:lang w:eastAsia="zh-CN"/>
        </w:rPr>
        <w:t>四</w:t>
      </w:r>
      <w:r>
        <w:rPr>
          <w:rFonts w:hint="eastAsia" w:ascii="楷体_GB2312" w:eastAsia="楷体_GB2312" w:cs="楷体_GB2312"/>
          <w:b/>
          <w:bCs/>
          <w:color w:val="auto"/>
          <w:sz w:val="32"/>
          <w:szCs w:val="32"/>
        </w:rPr>
        <w:t>）提醒事项</w:t>
      </w:r>
      <w:bookmarkEnd w:id="40"/>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lang w:val="en-US" w:eastAsia="zh-CN"/>
        </w:rPr>
        <w:t>2.2022届毕业生和持国（境）外学历（位）者在岗位资格复核时需提交或书面承诺于2022年12月31日前取得并能提供符合岗位报考条件的相应学历(位)证书及其认证材料，否则视为自动放弃考试（聘用）资格</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outlineLvl w:val="0"/>
        <w:rPr>
          <w:rFonts w:hint="eastAsia" w:ascii="黑体" w:eastAsia="黑体" w:cs="黑体"/>
          <w:b w:val="0"/>
          <w:bCs w:val="0"/>
          <w:color w:val="auto"/>
          <w:sz w:val="32"/>
          <w:szCs w:val="32"/>
        </w:rPr>
      </w:pPr>
      <w:bookmarkStart w:id="41" w:name="_Toc36069213"/>
      <w:r>
        <w:rPr>
          <w:rFonts w:hint="eastAsia" w:ascii="黑体" w:eastAsia="黑体" w:cs="黑体"/>
          <w:b w:val="0"/>
          <w:bCs w:val="0"/>
          <w:color w:val="auto"/>
          <w:sz w:val="32"/>
          <w:szCs w:val="32"/>
          <w:lang w:val="en-US" w:eastAsia="zh-CN"/>
        </w:rPr>
        <w:t>六、</w:t>
      </w:r>
      <w:r>
        <w:rPr>
          <w:rFonts w:hint="eastAsia" w:ascii="黑体" w:eastAsia="黑体" w:cs="黑体"/>
          <w:b w:val="0"/>
          <w:bCs w:val="0"/>
          <w:color w:val="auto"/>
          <w:sz w:val="32"/>
          <w:szCs w:val="32"/>
        </w:rPr>
        <w:t>专业</w:t>
      </w:r>
      <w:bookmarkEnd w:id="41"/>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bdr w:val="single" w:color="auto"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42" w:name="_Toc36069214"/>
      <w:r>
        <w:rPr>
          <w:rFonts w:hint="eastAsia" w:ascii="楷体_GB2312" w:eastAsia="楷体_GB2312" w:cs="楷体_GB2312"/>
          <w:b/>
          <w:bCs w:val="0"/>
          <w:color w:val="auto"/>
          <w:sz w:val="32"/>
          <w:szCs w:val="32"/>
        </w:rPr>
        <w:t>（一）填报专业名称</w:t>
      </w:r>
      <w:bookmarkEnd w:id="42"/>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bdr w:val="single" w:color="auto" w:sz="4" w:space="0"/>
        </w:rPr>
      </w:pPr>
      <w:r>
        <w:rPr>
          <w:rFonts w:hint="eastAsia" w:ascii="仿宋_GB2312" w:eastAsia="仿宋_GB2312" w:cs="仿宋_GB2312"/>
          <w:color w:val="auto"/>
          <w:sz w:val="32"/>
          <w:szCs w:val="32"/>
        </w:rPr>
        <w:t>报考者应</w:t>
      </w:r>
      <w:r>
        <w:rPr>
          <w:rFonts w:hint="eastAsia" w:ascii="仿宋_GB2312" w:eastAsia="仿宋_GB2312" w:cs="仿宋_GB2312"/>
          <w:color w:val="auto"/>
          <w:sz w:val="32"/>
          <w:szCs w:val="32"/>
          <w:lang w:eastAsia="zh-CN"/>
        </w:rPr>
        <w:t>严格按照所持</w:t>
      </w:r>
      <w:r>
        <w:rPr>
          <w:rFonts w:hint="eastAsia" w:ascii="仿宋_GB2312" w:eastAsia="仿宋_GB2312" w:cs="仿宋_GB2312"/>
          <w:color w:val="auto"/>
          <w:sz w:val="32"/>
          <w:szCs w:val="32"/>
        </w:rPr>
        <w:t>证书</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认证报告</w:t>
      </w:r>
      <w:r>
        <w:rPr>
          <w:rFonts w:hint="eastAsia" w:ascii="仿宋_GB2312" w:eastAsia="仿宋_GB2312" w:cs="仿宋_GB2312"/>
          <w:color w:val="auto"/>
          <w:sz w:val="32"/>
          <w:szCs w:val="32"/>
          <w:lang w:eastAsia="zh-CN"/>
        </w:rPr>
        <w:t>）上内容</w:t>
      </w:r>
      <w:r>
        <w:rPr>
          <w:rFonts w:hint="eastAsia" w:ascii="仿宋_GB2312" w:eastAsia="仿宋_GB2312" w:cs="仿宋_GB2312"/>
          <w:color w:val="auto"/>
          <w:sz w:val="32"/>
          <w:szCs w:val="32"/>
        </w:rPr>
        <w:t>只字不差、如实填写所学专业。</w:t>
      </w:r>
      <w:r>
        <w:rPr>
          <w:rFonts w:hint="eastAsia" w:ascii="仿宋_GB2312" w:eastAsia="仿宋_GB2312" w:cs="仿宋_GB2312"/>
          <w:color w:val="auto"/>
          <w:sz w:val="32"/>
          <w:szCs w:val="32"/>
          <w:lang w:eastAsia="zh-CN"/>
        </w:rPr>
        <w:t>其中，</w:t>
      </w:r>
      <w:r>
        <w:rPr>
          <w:rFonts w:hint="eastAsia" w:ascii="仿宋_GB2312" w:eastAsia="仿宋_GB2312" w:cs="仿宋_GB2312"/>
          <w:color w:val="auto"/>
          <w:sz w:val="32"/>
          <w:szCs w:val="32"/>
        </w:rPr>
        <w:t>全日制普通教育学历所学专业以毕业证书为准，非全日制普通教育和</w:t>
      </w:r>
      <w:r>
        <w:rPr>
          <w:rFonts w:hint="eastAsia" w:ascii="仿宋_GB2312" w:eastAsia="仿宋_GB2312" w:cs="仿宋_GB2312"/>
          <w:color w:val="auto"/>
          <w:sz w:val="32"/>
          <w:szCs w:val="32"/>
          <w:lang w:eastAsia="zh-CN"/>
        </w:rPr>
        <w:t>国（境）外</w:t>
      </w:r>
      <w:r>
        <w:rPr>
          <w:rFonts w:hint="eastAsia" w:ascii="仿宋_GB2312" w:eastAsia="仿宋_GB2312" w:cs="仿宋_GB2312"/>
          <w:color w:val="auto"/>
          <w:sz w:val="32"/>
          <w:szCs w:val="32"/>
        </w:rPr>
        <w:t>学历（位）以教育部学历（位）认证部门出具的认证报告为准。</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outlineLvl w:val="1"/>
        <w:rPr>
          <w:rFonts w:hint="eastAsia" w:ascii="楷体_GB2312" w:eastAsia="楷体_GB2312" w:cs="楷体_GB2312"/>
          <w:b/>
          <w:bCs w:val="0"/>
          <w:color w:val="auto"/>
          <w:sz w:val="32"/>
          <w:szCs w:val="32"/>
        </w:rPr>
      </w:pPr>
      <w:bookmarkStart w:id="43" w:name="_Toc36069215"/>
      <w:r>
        <w:rPr>
          <w:rFonts w:hint="eastAsia" w:ascii="楷体_GB2312" w:eastAsia="楷体_GB2312" w:cs="楷体_GB2312"/>
          <w:b/>
          <w:bCs w:val="0"/>
          <w:color w:val="auto"/>
          <w:sz w:val="32"/>
          <w:szCs w:val="32"/>
        </w:rPr>
        <w:t>（二）专业与学历（位）的对应关系</w:t>
      </w:r>
      <w:bookmarkEnd w:id="43"/>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44" w:name="_Toc36069216"/>
      <w:r>
        <w:rPr>
          <w:rFonts w:hint="eastAsia" w:ascii="楷体_GB2312" w:eastAsia="楷体_GB2312" w:cs="楷体_GB2312"/>
          <w:b/>
          <w:bCs/>
          <w:color w:val="auto"/>
          <w:sz w:val="32"/>
          <w:szCs w:val="32"/>
          <w:u w:val="none"/>
        </w:rPr>
        <w:t>（三）专业资格的认定</w:t>
      </w:r>
      <w:bookmarkEnd w:id="44"/>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专业要求“临床医学”专业的，含“临床医学”或“临床医学硕士”或“临床医学博士”，其他专业以此类推。</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若报考者所学专业不在《专业指导目录》中，报考者须提供学历证、学位证、主干课程成绩表、论文发表情况、学校证明等有效凭证，由</w:t>
      </w:r>
      <w:r>
        <w:rPr>
          <w:rFonts w:hint="eastAsia" w:ascii="仿宋_GB2312" w:eastAsia="仿宋_GB2312" w:cs="仿宋_GB2312"/>
          <w:b w:val="0"/>
          <w:bCs w:val="0"/>
          <w:color w:val="auto"/>
          <w:sz w:val="32"/>
          <w:szCs w:val="32"/>
          <w:u w:val="none"/>
          <w:lang w:eastAsia="zh-CN"/>
        </w:rPr>
        <w:t>招聘单位</w:t>
      </w:r>
      <w:r>
        <w:rPr>
          <w:rFonts w:hint="eastAsia" w:ascii="仿宋_GB2312" w:eastAsia="仿宋_GB2312" w:cs="仿宋_GB2312"/>
          <w:b w:val="0"/>
          <w:bCs w:val="0"/>
          <w:color w:val="auto"/>
          <w:sz w:val="32"/>
          <w:szCs w:val="32"/>
          <w:u w:val="none"/>
        </w:rPr>
        <w:t>会同主管部门负责认定。报考者所学专业</w:t>
      </w:r>
      <w:r>
        <w:rPr>
          <w:rFonts w:hint="eastAsia" w:ascii="仿宋_GB2312" w:eastAsia="仿宋_GB2312" w:cs="仿宋_GB2312"/>
          <w:b w:val="0"/>
          <w:bCs w:val="0"/>
          <w:color w:val="auto"/>
          <w:sz w:val="32"/>
          <w:szCs w:val="32"/>
          <w:u w:val="none"/>
          <w:lang w:eastAsia="zh-CN"/>
        </w:rPr>
        <w:t>只字不差体现</w:t>
      </w:r>
      <w:r>
        <w:rPr>
          <w:rFonts w:hint="eastAsia" w:ascii="仿宋_GB2312" w:eastAsia="仿宋_GB2312" w:cs="仿宋_GB2312"/>
          <w:b w:val="0"/>
          <w:bCs w:val="0"/>
          <w:color w:val="auto"/>
          <w:sz w:val="32"/>
          <w:szCs w:val="32"/>
          <w:u w:val="none"/>
        </w:rPr>
        <w:t>在《专业指导目录》中，但未列入招聘岗位所要求的专业，不得报考该岗位。</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经与招</w:t>
      </w:r>
      <w:r>
        <w:rPr>
          <w:rFonts w:hint="eastAsia" w:ascii="仿宋_GB2312" w:eastAsia="仿宋_GB2312" w:cs="仿宋_GB2312"/>
          <w:b w:val="0"/>
          <w:bCs w:val="0"/>
          <w:color w:val="auto"/>
          <w:sz w:val="32"/>
          <w:szCs w:val="32"/>
          <w:u w:val="none"/>
          <w:lang w:eastAsia="zh-CN"/>
        </w:rPr>
        <w:t>聘</w:t>
      </w:r>
      <w:r>
        <w:rPr>
          <w:rFonts w:hint="eastAsia" w:ascii="仿宋_GB2312" w:eastAsia="仿宋_GB2312" w:cs="仿宋_GB2312"/>
          <w:b w:val="0"/>
          <w:bCs w:val="0"/>
          <w:color w:val="auto"/>
          <w:sz w:val="32"/>
          <w:szCs w:val="32"/>
          <w:u w:val="none"/>
        </w:rPr>
        <w:t>单位沟通，若报考者对专业资格审查结果仍有异议的，可在规定期限内及时通过</w:t>
      </w:r>
      <w:r>
        <w:rPr>
          <w:rFonts w:hint="eastAsia" w:ascii="仿宋_GB2312" w:eastAsia="仿宋_GB2312" w:cs="仿宋_GB2312"/>
          <w:b w:val="0"/>
          <w:bCs w:val="0"/>
          <w:color w:val="auto"/>
          <w:sz w:val="32"/>
          <w:szCs w:val="32"/>
          <w:u w:val="none"/>
          <w:lang w:eastAsia="zh-CN"/>
        </w:rPr>
        <w:t>“</w:t>
      </w:r>
      <w:r>
        <w:rPr>
          <w:rFonts w:hint="eastAsia" w:ascii="仿宋_GB2312" w:eastAsia="仿宋_GB2312" w:cs="仿宋_GB2312"/>
          <w:b w:val="0"/>
          <w:bCs w:val="0"/>
          <w:color w:val="auto"/>
          <w:sz w:val="32"/>
          <w:szCs w:val="32"/>
          <w:u w:val="none"/>
        </w:rPr>
        <w:t>报名系统</w:t>
      </w:r>
      <w:r>
        <w:rPr>
          <w:rFonts w:hint="eastAsia" w:ascii="仿宋_GB2312" w:eastAsia="仿宋_GB2312" w:cs="仿宋_GB2312"/>
          <w:b w:val="0"/>
          <w:bCs w:val="0"/>
          <w:color w:val="auto"/>
          <w:sz w:val="32"/>
          <w:szCs w:val="32"/>
          <w:u w:val="none"/>
          <w:lang w:eastAsia="zh-CN"/>
        </w:rPr>
        <w:t>”</w:t>
      </w:r>
      <w:r>
        <w:rPr>
          <w:rFonts w:hint="eastAsia" w:ascii="仿宋_GB2312" w:eastAsia="仿宋_GB2312" w:cs="仿宋_GB2312"/>
          <w:b w:val="0"/>
          <w:bCs w:val="0"/>
          <w:color w:val="auto"/>
          <w:sz w:val="32"/>
          <w:szCs w:val="32"/>
          <w:u w:val="none"/>
        </w:rPr>
        <w:t>的申诉通道提出申诉。</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45" w:name="_Toc36069217"/>
      <w:r>
        <w:rPr>
          <w:rFonts w:hint="eastAsia" w:ascii="黑体" w:eastAsia="黑体" w:cs="黑体"/>
          <w:b w:val="0"/>
          <w:bCs w:val="0"/>
          <w:color w:val="auto"/>
          <w:sz w:val="32"/>
          <w:szCs w:val="32"/>
          <w:u w:val="none"/>
          <w:lang w:val="en-US" w:eastAsia="zh-CN"/>
        </w:rPr>
        <w:t>七、</w:t>
      </w:r>
      <w:r>
        <w:rPr>
          <w:rFonts w:hint="eastAsia" w:ascii="黑体" w:eastAsia="黑体" w:cs="黑体"/>
          <w:b w:val="0"/>
          <w:bCs w:val="0"/>
          <w:color w:val="auto"/>
          <w:sz w:val="32"/>
          <w:szCs w:val="32"/>
          <w:u w:val="none"/>
        </w:rPr>
        <w:t>工作经验</w:t>
      </w:r>
      <w:bookmarkEnd w:id="45"/>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岗位资格条件要求的“专业工作经验”，应聘人员须提供养老保险缴费凭证或工资发放表等有效凭证、聘用(劳动)合同和所在单位出具的符合岗位条件要求的相关岗位的工作情况证明。全日制普通教育毕业生参加</w:t>
      </w:r>
      <w:r>
        <w:rPr>
          <w:rFonts w:hint="eastAsia" w:ascii="仿宋_GB2312" w:eastAsia="仿宋_GB2312" w:cs="仿宋_GB2312"/>
          <w:b w:val="0"/>
          <w:bCs w:val="0"/>
          <w:color w:val="auto"/>
          <w:sz w:val="32"/>
          <w:szCs w:val="32"/>
          <w:u w:val="none"/>
          <w:lang w:eastAsia="zh-CN"/>
        </w:rPr>
        <w:t>经人社部门</w:t>
      </w:r>
      <w:r>
        <w:rPr>
          <w:rFonts w:hint="eastAsia" w:ascii="仿宋_GB2312" w:eastAsia="仿宋_GB2312" w:cs="仿宋_GB2312"/>
          <w:b w:val="0"/>
          <w:bCs w:val="0"/>
          <w:color w:val="auto"/>
          <w:sz w:val="32"/>
          <w:szCs w:val="32"/>
          <w:u w:val="none"/>
        </w:rPr>
        <w:t>核定的职业见习，若从事的工作与招聘岗位要求的专业工作经验相关，其毕业后的职业见习年限可视同工作经验年限。</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全日制普通教育期间的社会实践经历(含兼职工作等)，不能视为工作经验。</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岗位资格条件要求的工作经验年限可以</w:t>
      </w:r>
      <w:r>
        <w:rPr>
          <w:rFonts w:hint="eastAsia" w:ascii="仿宋_GB2312" w:eastAsia="仿宋_GB2312" w:cs="仿宋_GB2312"/>
          <w:b w:val="0"/>
          <w:bCs w:val="0"/>
          <w:color w:val="auto"/>
          <w:sz w:val="32"/>
          <w:szCs w:val="32"/>
          <w:u w:val="none"/>
          <w:lang w:eastAsia="zh-CN"/>
        </w:rPr>
        <w:t>分段按月</w:t>
      </w:r>
      <w:r>
        <w:rPr>
          <w:rFonts w:hint="eastAsia" w:ascii="仿宋_GB2312" w:eastAsia="仿宋_GB2312" w:cs="仿宋_GB2312"/>
          <w:b w:val="0"/>
          <w:bCs w:val="0"/>
          <w:color w:val="auto"/>
          <w:sz w:val="32"/>
          <w:szCs w:val="32"/>
          <w:u w:val="none"/>
        </w:rPr>
        <w:t>合并计算。不同单位的相同（似）工作经验证明可分别开具，累计计算。</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lang w:eastAsia="zh-CN"/>
        </w:rPr>
      </w:pPr>
      <w:r>
        <w:rPr>
          <w:rFonts w:hint="eastAsia" w:ascii="仿宋_GB2312" w:eastAsia="仿宋_GB2312" w:cs="仿宋_GB2312"/>
          <w:b w:val="0"/>
          <w:bCs w:val="0"/>
          <w:color w:val="auto"/>
          <w:sz w:val="32"/>
          <w:szCs w:val="32"/>
          <w:u w:val="none"/>
        </w:rPr>
        <w:t>例：岗位要求有2年工作经验，张三工作经验如下：</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lang w:eastAsia="zh-CN"/>
        </w:rPr>
      </w:pPr>
      <w:r>
        <w:rPr>
          <w:rFonts w:hint="eastAsia" w:ascii="仿宋_GB2312" w:eastAsia="仿宋_GB2312" w:cs="仿宋_GB2312"/>
          <w:b w:val="0"/>
          <w:bCs w:val="0"/>
          <w:color w:val="auto"/>
          <w:sz w:val="32"/>
          <w:szCs w:val="32"/>
          <w:u w:val="none"/>
        </w:rPr>
        <w:t xml:space="preserve">        2019.5.7-2020.6.23在A单位上班 (13个月）</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lang w:eastAsia="zh-CN"/>
        </w:rPr>
      </w:pPr>
      <w:r>
        <w:rPr>
          <w:rFonts w:hint="eastAsia" w:ascii="仿宋_GB2312" w:eastAsia="仿宋_GB2312" w:cs="仿宋_GB2312"/>
          <w:b w:val="0"/>
          <w:bCs w:val="0"/>
          <w:color w:val="auto"/>
          <w:sz w:val="32"/>
          <w:szCs w:val="32"/>
          <w:u w:val="none"/>
        </w:rPr>
        <w:t xml:space="preserve">        2020.7.8-2021.5.12在B单位上班(11个月）</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 xml:space="preserve">        累计24个月，满足2年工作经验。</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lang w:val="en-US" w:eastAsia="zh-CN"/>
        </w:rPr>
      </w:pPr>
      <w:bookmarkStart w:id="46" w:name="_Toc70495082"/>
      <w:bookmarkStart w:id="47" w:name="_Toc36069218"/>
      <w:r>
        <w:rPr>
          <w:rFonts w:hint="eastAsia" w:ascii="黑体" w:eastAsia="黑体" w:cs="黑体"/>
          <w:b w:val="0"/>
          <w:bCs w:val="0"/>
          <w:color w:val="auto"/>
          <w:sz w:val="32"/>
          <w:szCs w:val="32"/>
          <w:u w:val="none"/>
          <w:lang w:val="en-US" w:eastAsia="zh-CN"/>
        </w:rPr>
        <w:t>八、岗位开考比例</w:t>
      </w:r>
      <w:bookmarkEnd w:id="46"/>
      <w:bookmarkEnd w:id="47"/>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符合岗位资格条件的报名人数</w:t>
      </w:r>
      <w:r>
        <w:rPr>
          <w:rFonts w:hint="eastAsia" w:ascii="仿宋_GB2312" w:eastAsia="仿宋_GB2312"/>
          <w:color w:val="auto"/>
          <w:sz w:val="32"/>
          <w:szCs w:val="32"/>
          <w:highlight w:val="none"/>
          <w:lang w:eastAsia="zh-CN"/>
        </w:rPr>
        <w:t>（指通过网上报名资格初审的人数）</w:t>
      </w:r>
      <w:r>
        <w:rPr>
          <w:rFonts w:hint="eastAsia" w:ascii="仿宋_GB2312" w:eastAsia="仿宋_GB2312"/>
          <w:color w:val="auto"/>
          <w:sz w:val="32"/>
          <w:szCs w:val="32"/>
          <w:highlight w:val="none"/>
        </w:rPr>
        <w:t>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napToGrid w:val="0"/>
        <w:spacing w:line="579" w:lineRule="exact"/>
        <w:ind w:firstLine="640" w:firstLineChars="200"/>
        <w:jc w:val="both"/>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按要求取消开考、减少招聘人数</w:t>
      </w:r>
      <w:r>
        <w:rPr>
          <w:rFonts w:hint="eastAsia" w:ascii="仿宋_GB2312" w:eastAsia="仿宋_GB2312" w:cs="仿宋_GB2312"/>
          <w:color w:val="auto"/>
          <w:sz w:val="32"/>
          <w:szCs w:val="32"/>
          <w:lang w:eastAsia="zh-CN"/>
        </w:rPr>
        <w:t>的岗位</w:t>
      </w:r>
      <w:r>
        <w:rPr>
          <w:rFonts w:hint="eastAsia" w:ascii="仿宋_GB2312" w:eastAsia="仿宋_GB2312" w:cs="仿宋_GB2312"/>
          <w:color w:val="auto"/>
          <w:sz w:val="32"/>
          <w:szCs w:val="32"/>
        </w:rPr>
        <w:t>由招聘单位及其主管部门研究提出意见，经区人社局同意并报备市人社局后在考务信息通知平台另行公告。情况特殊确需降低开考比例的岗位，由招聘单位及其主管部门研究提出意见，经区人社局同意并报市人社局批准后在“网上考务信息通知”另行公告。</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48" w:name="_Toc36069219"/>
      <w:r>
        <w:rPr>
          <w:rFonts w:hint="eastAsia" w:ascii="黑体" w:eastAsia="黑体" w:cs="黑体"/>
          <w:b w:val="0"/>
          <w:bCs w:val="0"/>
          <w:color w:val="auto"/>
          <w:sz w:val="32"/>
          <w:szCs w:val="32"/>
          <w:u w:val="none"/>
          <w:lang w:val="en-US" w:eastAsia="zh-CN"/>
        </w:rPr>
        <w:t>九、</w:t>
      </w:r>
      <w:r>
        <w:rPr>
          <w:rFonts w:hint="eastAsia" w:ascii="黑体" w:eastAsia="黑体" w:cs="黑体"/>
          <w:b w:val="0"/>
          <w:bCs w:val="0"/>
          <w:color w:val="auto"/>
          <w:sz w:val="32"/>
          <w:szCs w:val="32"/>
          <w:u w:val="none"/>
        </w:rPr>
        <w:t>笔试加分</w:t>
      </w:r>
      <w:bookmarkEnd w:id="48"/>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49" w:name="_Toc36069220"/>
      <w:r>
        <w:rPr>
          <w:rFonts w:hint="eastAsia" w:ascii="楷体_GB2312" w:eastAsia="楷体_GB2312" w:cs="楷体_GB2312"/>
          <w:b/>
          <w:bCs/>
          <w:color w:val="auto"/>
          <w:sz w:val="32"/>
          <w:szCs w:val="32"/>
          <w:u w:val="none"/>
        </w:rPr>
        <w:t>（一）加分原则</w:t>
      </w:r>
      <w:bookmarkEnd w:id="49"/>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笔试成绩=笔试卷面分+各项加分。</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sz w:val="32"/>
          <w:szCs w:val="32"/>
        </w:rPr>
        <w:t>加分仅限于笔试卷面分，加分不受笔试满分限制。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50" w:name="_Toc36069221"/>
      <w:r>
        <w:rPr>
          <w:rFonts w:hint="eastAsia" w:ascii="楷体_GB2312" w:eastAsia="楷体_GB2312" w:cs="楷体_GB2312"/>
          <w:b/>
          <w:bCs/>
          <w:color w:val="auto"/>
          <w:sz w:val="32"/>
          <w:szCs w:val="32"/>
          <w:u w:val="none"/>
        </w:rPr>
        <w:t>（二）加分对象</w:t>
      </w:r>
      <w:bookmarkEnd w:id="50"/>
    </w:p>
    <w:p>
      <w:pPr>
        <w:keepNext w:val="0"/>
        <w:keepLines w:val="0"/>
        <w:pageBreakBefore w:val="0"/>
        <w:widowControl w:val="0"/>
        <w:kinsoku/>
        <w:wordWrap/>
        <w:overflowPunct/>
        <w:topLinePunct w:val="0"/>
        <w:autoSpaceDE/>
        <w:autoSpaceDN/>
        <w:bidi w:val="0"/>
        <w:spacing w:line="579" w:lineRule="exact"/>
        <w:ind w:left="0" w:firstLine="640" w:firstLineChars="200"/>
        <w:jc w:val="both"/>
        <w:textAlignment w:val="auto"/>
        <w:rPr>
          <w:rFonts w:hint="eastAsia" w:ascii="仿宋_GB2312" w:eastAsia="仿宋_GB2312"/>
          <w:color w:val="auto"/>
          <w:sz w:val="32"/>
          <w:szCs w:val="32"/>
          <w:highlight w:val="none"/>
          <w:lang w:eastAsia="zh-CN"/>
        </w:rPr>
      </w:pPr>
      <w:bookmarkStart w:id="51" w:name="_Toc9098"/>
      <w:bookmarkStart w:id="52" w:name="_Toc13976"/>
      <w:bookmarkStart w:id="53" w:name="_Toc25371"/>
      <w:bookmarkStart w:id="54" w:name="_Toc15632"/>
      <w:bookmarkStart w:id="55" w:name="_Toc17898"/>
      <w:bookmarkStart w:id="56" w:name="_Toc10848"/>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79" w:lineRule="exact"/>
        <w:ind w:left="0" w:firstLine="643" w:firstLineChars="200"/>
        <w:jc w:val="both"/>
        <w:textAlignment w:val="auto"/>
        <w:outlineLvl w:val="2"/>
        <w:rPr>
          <w:rFonts w:hint="eastAsia" w:ascii="仿宋_GB2312" w:eastAsia="仿宋_GB2312" w:cs="仿宋_GB2312"/>
          <w:b/>
          <w:bCs/>
          <w:color w:val="auto"/>
          <w:sz w:val="32"/>
          <w:szCs w:val="32"/>
          <w:highlight w:val="none"/>
          <w:lang w:eastAsia="zh-CN"/>
        </w:rPr>
      </w:pPr>
      <w:bookmarkStart w:id="57" w:name="_Toc36069222"/>
      <w:r>
        <w:rPr>
          <w:rFonts w:hint="eastAsia" w:ascii="仿宋_GB2312" w:eastAsia="仿宋_GB2312" w:cs="仿宋_GB2312"/>
          <w:b/>
          <w:bCs/>
          <w:color w:val="auto"/>
          <w:sz w:val="32"/>
          <w:szCs w:val="32"/>
          <w:highlight w:val="none"/>
          <w:lang w:val="en-US" w:eastAsia="zh-CN"/>
        </w:rPr>
        <w:t>1.</w:t>
      </w:r>
      <w:r>
        <w:rPr>
          <w:rFonts w:hint="eastAsia" w:ascii="仿宋_GB2312" w:eastAsia="仿宋_GB2312" w:cs="仿宋_GB2312"/>
          <w:b/>
          <w:bCs/>
          <w:color w:val="auto"/>
          <w:sz w:val="32"/>
          <w:szCs w:val="32"/>
          <w:highlight w:val="none"/>
          <w:lang w:eastAsia="zh-CN"/>
        </w:rPr>
        <w:t>服务基层项目高校毕业人员</w:t>
      </w:r>
      <w:bookmarkEnd w:id="51"/>
      <w:bookmarkEnd w:id="52"/>
      <w:bookmarkEnd w:id="53"/>
      <w:bookmarkEnd w:id="54"/>
      <w:bookmarkEnd w:id="55"/>
      <w:bookmarkEnd w:id="56"/>
      <w:bookmarkEnd w:id="57"/>
    </w:p>
    <w:p>
      <w:pPr>
        <w:keepNext w:val="0"/>
        <w:keepLines w:val="0"/>
        <w:pageBreakBefore w:val="0"/>
        <w:widowControl w:val="0"/>
        <w:kinsoku/>
        <w:wordWrap/>
        <w:overflowPunct/>
        <w:topLinePunct w:val="0"/>
        <w:autoSpaceDE/>
        <w:autoSpaceDN/>
        <w:bidi w:val="0"/>
        <w:spacing w:line="579" w:lineRule="exact"/>
        <w:ind w:left="0"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ascii="仿宋_GB2312" w:eastAsia="仿宋_GB2312"/>
          <w:color w:val="auto"/>
          <w:sz w:val="32"/>
          <w:szCs w:val="32"/>
          <w:highlight w:val="none"/>
          <w:lang w:val="en-US" w:eastAsia="zh-CN"/>
        </w:rPr>
        <w:t>报名截止当月</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服务期限2年及以上且期满考核合格的服务基层项目毕业生，报考区属事业单位笔试卷面分加5分；服务期限1年及以上不满2年且期满考核合格的服务基层项目毕业生，报考区属事业单位笔试卷面分加5分。 </w:t>
      </w:r>
    </w:p>
    <w:p>
      <w:pPr>
        <w:keepNext w:val="0"/>
        <w:keepLines w:val="0"/>
        <w:pageBreakBefore w:val="0"/>
        <w:widowControl w:val="0"/>
        <w:kinsoku/>
        <w:wordWrap/>
        <w:overflowPunct/>
        <w:topLinePunct w:val="0"/>
        <w:autoSpaceDE/>
        <w:autoSpaceDN/>
        <w:bidi w:val="0"/>
        <w:spacing w:line="579" w:lineRule="exact"/>
        <w:ind w:left="0" w:firstLine="643" w:firstLineChars="200"/>
        <w:jc w:val="both"/>
        <w:textAlignment w:val="auto"/>
        <w:outlineLvl w:val="2"/>
        <w:rPr>
          <w:rFonts w:hint="eastAsia" w:ascii="仿宋_GB2312" w:eastAsia="仿宋_GB2312" w:cs="仿宋_GB2312"/>
          <w:b/>
          <w:bCs/>
          <w:color w:val="auto"/>
          <w:sz w:val="32"/>
          <w:szCs w:val="32"/>
          <w:highlight w:val="none"/>
          <w:lang w:val="en-US" w:eastAsia="zh-CN"/>
        </w:rPr>
      </w:pPr>
      <w:bookmarkStart w:id="58" w:name="_Toc22049"/>
      <w:bookmarkStart w:id="59" w:name="_Toc36069223"/>
      <w:bookmarkStart w:id="60" w:name="_Toc24980"/>
      <w:bookmarkStart w:id="61" w:name="_Toc23253"/>
      <w:bookmarkStart w:id="62" w:name="_Toc12368"/>
      <w:bookmarkStart w:id="63" w:name="_Toc1747"/>
      <w:bookmarkStart w:id="64" w:name="_Toc3463"/>
      <w:r>
        <w:rPr>
          <w:rFonts w:hint="eastAsia" w:ascii="仿宋_GB2312" w:eastAsia="仿宋_GB2312" w:cs="仿宋_GB2312"/>
          <w:b/>
          <w:bCs/>
          <w:color w:val="auto"/>
          <w:sz w:val="32"/>
          <w:szCs w:val="32"/>
          <w:highlight w:val="none"/>
          <w:lang w:val="en-US" w:eastAsia="zh-CN"/>
        </w:rPr>
        <w:t>2.退役士兵（含大学生退役士兵）</w:t>
      </w:r>
      <w:bookmarkEnd w:id="58"/>
      <w:bookmarkEnd w:id="59"/>
      <w:bookmarkEnd w:id="60"/>
      <w:bookmarkEnd w:id="61"/>
      <w:bookmarkEnd w:id="62"/>
      <w:bookmarkEnd w:id="63"/>
      <w:bookmarkEnd w:id="64"/>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widowControl w:val="0"/>
        <w:kinsoku/>
        <w:wordWrap/>
        <w:overflowPunct/>
        <w:topLinePunct w:val="0"/>
        <w:autoSpaceDE/>
        <w:autoSpaceDN/>
        <w:bidi w:val="0"/>
        <w:spacing w:line="579" w:lineRule="exact"/>
        <w:ind w:left="0" w:firstLine="643" w:firstLineChars="200"/>
        <w:jc w:val="both"/>
        <w:textAlignment w:val="auto"/>
        <w:outlineLvl w:val="2"/>
        <w:rPr>
          <w:rFonts w:hint="eastAsia" w:ascii="仿宋_GB2312" w:eastAsia="仿宋_GB2312" w:cs="仿宋_GB2312"/>
          <w:b/>
          <w:bCs/>
          <w:color w:val="auto"/>
          <w:sz w:val="32"/>
          <w:szCs w:val="32"/>
          <w:highlight w:val="none"/>
          <w:lang w:val="en-US" w:eastAsia="zh-CN"/>
        </w:rPr>
      </w:pPr>
      <w:bookmarkStart w:id="65" w:name="_Toc21973"/>
      <w:bookmarkStart w:id="66" w:name="_Toc36069224"/>
      <w:bookmarkStart w:id="67" w:name="_Toc15434"/>
      <w:bookmarkStart w:id="68" w:name="_Toc5502"/>
      <w:bookmarkStart w:id="69" w:name="_Toc31915"/>
      <w:r>
        <w:rPr>
          <w:rFonts w:hint="eastAsia" w:ascii="仿宋_GB2312" w:eastAsia="仿宋_GB2312" w:cs="仿宋_GB2312"/>
          <w:b/>
          <w:bCs/>
          <w:color w:val="auto"/>
          <w:sz w:val="32"/>
          <w:szCs w:val="32"/>
          <w:highlight w:val="none"/>
          <w:lang w:val="en-US" w:eastAsia="zh-CN"/>
        </w:rPr>
        <w:t>3.退役优秀运动员</w:t>
      </w:r>
      <w:bookmarkEnd w:id="65"/>
      <w:bookmarkEnd w:id="66"/>
      <w:bookmarkEnd w:id="67"/>
      <w:bookmarkEnd w:id="68"/>
      <w:bookmarkEnd w:id="69"/>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keepNext w:val="0"/>
        <w:keepLines w:val="0"/>
        <w:pageBreakBefore w:val="0"/>
        <w:widowControl w:val="0"/>
        <w:kinsoku/>
        <w:wordWrap/>
        <w:overflowPunct/>
        <w:topLinePunct w:val="0"/>
        <w:autoSpaceDE/>
        <w:autoSpaceDN/>
        <w:bidi w:val="0"/>
        <w:spacing w:line="579" w:lineRule="exact"/>
        <w:ind w:firstLine="643" w:firstLineChars="200"/>
        <w:jc w:val="both"/>
        <w:textAlignment w:val="auto"/>
        <w:outlineLvl w:val="1"/>
        <w:rPr>
          <w:rFonts w:hint="eastAsia" w:ascii="楷体" w:eastAsia="楷体" w:cs="楷体"/>
          <w:b/>
          <w:bCs/>
          <w:color w:val="auto"/>
          <w:sz w:val="32"/>
          <w:szCs w:val="32"/>
          <w:highlight w:val="none"/>
          <w:lang w:eastAsia="zh-CN"/>
        </w:rPr>
      </w:pPr>
      <w:bookmarkStart w:id="70" w:name="_Toc30306"/>
      <w:bookmarkStart w:id="71" w:name="_Toc22910"/>
      <w:bookmarkStart w:id="72" w:name="_Toc36069225"/>
      <w:r>
        <w:rPr>
          <w:rFonts w:hint="eastAsia" w:ascii="楷体" w:eastAsia="楷体" w:cs="楷体"/>
          <w:b/>
          <w:bCs/>
          <w:color w:val="auto"/>
          <w:sz w:val="32"/>
          <w:szCs w:val="32"/>
          <w:highlight w:val="none"/>
          <w:lang w:eastAsia="zh-CN"/>
        </w:rPr>
        <w:t>（三）加分证明材料</w:t>
      </w:r>
      <w:bookmarkEnd w:id="70"/>
      <w:bookmarkEnd w:id="71"/>
      <w:bookmarkEnd w:id="72"/>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月</w:t>
      </w:r>
      <w:r>
        <w:rPr>
          <w:rFonts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日前</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b w:val="0"/>
          <w:bCs w:val="0"/>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w:t>
      </w:r>
      <w:r>
        <w:rPr>
          <w:rFonts w:hint="eastAsia" w:ascii="仿宋_GB2312" w:eastAsia="仿宋_GB2312"/>
          <w:b w:val="0"/>
          <w:bCs w:val="0"/>
          <w:color w:val="auto"/>
          <w:sz w:val="32"/>
          <w:szCs w:val="32"/>
          <w:highlight w:val="none"/>
          <w:lang w:eastAsia="zh-CN"/>
        </w:rPr>
        <w:t>相关部门</w:t>
      </w:r>
      <w:r>
        <w:rPr>
          <w:rFonts w:hint="eastAsia" w:ascii="仿宋_GB2312" w:eastAsia="仿宋_GB2312"/>
          <w:b w:val="0"/>
          <w:bCs w:val="0"/>
          <w:color w:val="auto"/>
          <w:sz w:val="32"/>
          <w:szCs w:val="32"/>
          <w:highlight w:val="none"/>
        </w:rPr>
        <w:t>开具的证明继续有效。</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73" w:name="_Toc36069226"/>
      <w:r>
        <w:rPr>
          <w:rFonts w:hint="eastAsia" w:ascii="黑体" w:eastAsia="黑体" w:cs="黑体"/>
          <w:b w:val="0"/>
          <w:bCs w:val="0"/>
          <w:color w:val="auto"/>
          <w:sz w:val="32"/>
          <w:szCs w:val="32"/>
          <w:u w:val="none"/>
          <w:lang w:val="en-US" w:eastAsia="zh-CN"/>
        </w:rPr>
        <w:t>十、</w:t>
      </w:r>
      <w:r>
        <w:rPr>
          <w:rFonts w:hint="eastAsia" w:ascii="黑体" w:eastAsia="黑体" w:cs="黑体"/>
          <w:b w:val="0"/>
          <w:bCs w:val="0"/>
          <w:color w:val="auto"/>
          <w:sz w:val="32"/>
          <w:szCs w:val="32"/>
          <w:u w:val="none"/>
        </w:rPr>
        <w:t>综合总分计算</w:t>
      </w:r>
      <w:bookmarkEnd w:id="73"/>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综合总分合格线为60分。综合总分具体计算公式为：</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综合总分=笔试成绩×50%+面试成绩×50%。</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笔试成绩、面试成绩、综合总分均采用四舍五入方式取小数点后2位（必要时可增加小数点位数）。对于综合总分相同者，按以下顺序进一步确定名次排列：</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（一）按笔试成绩从高到低排列；</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（二）若笔试成绩又相同，按面试成绩排列；</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三）若面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74" w:name="_Toc36069227"/>
      <w:r>
        <w:rPr>
          <w:rFonts w:hint="eastAsia" w:ascii="黑体" w:eastAsia="黑体" w:cs="黑体"/>
          <w:b w:val="0"/>
          <w:bCs w:val="0"/>
          <w:color w:val="auto"/>
          <w:sz w:val="32"/>
          <w:szCs w:val="32"/>
          <w:u w:val="none"/>
          <w:lang w:val="en-US" w:eastAsia="zh-CN"/>
        </w:rPr>
        <w:t>十一、</w:t>
      </w:r>
      <w:r>
        <w:rPr>
          <w:rFonts w:hint="eastAsia" w:ascii="黑体" w:eastAsia="黑体" w:cs="黑体"/>
          <w:b w:val="0"/>
          <w:bCs w:val="0"/>
          <w:color w:val="auto"/>
          <w:sz w:val="32"/>
          <w:szCs w:val="32"/>
          <w:u w:val="none"/>
        </w:rPr>
        <w:t>体检和考察</w:t>
      </w:r>
      <w:bookmarkEnd w:id="74"/>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75" w:name="_Toc36069228"/>
      <w:r>
        <w:rPr>
          <w:rFonts w:hint="eastAsia" w:ascii="楷体_GB2312" w:eastAsia="楷体_GB2312" w:cs="楷体_GB2312"/>
          <w:b/>
          <w:bCs/>
          <w:color w:val="auto"/>
          <w:sz w:val="32"/>
          <w:szCs w:val="32"/>
          <w:u w:val="none"/>
        </w:rPr>
        <w:t>（一）确定体检人选</w:t>
      </w:r>
      <w:bookmarkEnd w:id="75"/>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从笔试、面试</w:t>
      </w:r>
      <w:r>
        <w:rPr>
          <w:rFonts w:hint="eastAsia" w:ascii="仿宋_GB2312" w:eastAsia="仿宋_GB2312"/>
          <w:color w:val="auto"/>
          <w:sz w:val="32"/>
          <w:szCs w:val="32"/>
          <w:highlight w:val="none"/>
          <w:lang w:eastAsia="zh-CN"/>
        </w:rPr>
        <w:t>成绩</w:t>
      </w:r>
      <w:r>
        <w:rPr>
          <w:rFonts w:hint="eastAsia" w:ascii="仿宋_GB2312" w:eastAsia="仿宋_GB2312"/>
          <w:color w:val="auto"/>
          <w:sz w:val="32"/>
          <w:szCs w:val="32"/>
          <w:highlight w:val="none"/>
        </w:rPr>
        <w:t>和综合总分均合格者中</w:t>
      </w:r>
      <w:r>
        <w:rPr>
          <w:rFonts w:hint="eastAsia" w:ascii="仿宋_GB2312" w:eastAsia="仿宋_GB2312" w:cs="仿宋_GB2312"/>
          <w:b w:val="0"/>
          <w:bCs w:val="0"/>
          <w:color w:val="auto"/>
          <w:sz w:val="32"/>
          <w:szCs w:val="32"/>
          <w:u w:val="none"/>
        </w:rPr>
        <w:t>，根据综合总分排名顺序，按岗位拟招聘人数1:1的比例从高分至低分确定体检人选。</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76" w:name="_Toc36069229"/>
      <w:r>
        <w:rPr>
          <w:rFonts w:hint="eastAsia" w:ascii="楷体_GB2312" w:eastAsia="楷体_GB2312" w:cs="楷体_GB2312"/>
          <w:b/>
          <w:bCs/>
          <w:color w:val="auto"/>
          <w:sz w:val="32"/>
          <w:szCs w:val="32"/>
          <w:u w:val="none"/>
        </w:rPr>
        <w:t>（二）组织体检</w:t>
      </w:r>
      <w:bookmarkEnd w:id="76"/>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体检</w:t>
      </w:r>
      <w:r>
        <w:rPr>
          <w:rFonts w:hint="eastAsia" w:ascii="仿宋_GB2312" w:eastAsia="仿宋_GB2312" w:cs="仿宋_GB2312"/>
          <w:b w:val="0"/>
          <w:bCs w:val="0"/>
          <w:color w:val="auto"/>
          <w:sz w:val="32"/>
          <w:szCs w:val="32"/>
          <w:u w:val="none"/>
          <w:lang w:val="en-US" w:eastAsia="zh-CN"/>
        </w:rPr>
        <w:t>由区人社局统一组织，</w:t>
      </w:r>
      <w:r>
        <w:rPr>
          <w:rFonts w:hint="eastAsia" w:ascii="仿宋_GB2312" w:eastAsia="仿宋_GB2312" w:cs="仿宋_GB2312"/>
          <w:b w:val="0"/>
          <w:bCs w:val="0"/>
          <w:color w:val="auto"/>
          <w:sz w:val="32"/>
          <w:szCs w:val="32"/>
          <w:u w:val="none"/>
        </w:rPr>
        <w:t>考察由招聘单位会同主管部门负责组织实施。</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体检人员应根据通知按时参加并配合体检，否则，视为放弃资格。</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77" w:name="_Toc36069230"/>
      <w:r>
        <w:rPr>
          <w:rFonts w:hint="eastAsia" w:ascii="楷体_GB2312" w:eastAsia="楷体_GB2312" w:cs="楷体_GB2312"/>
          <w:b/>
          <w:bCs/>
          <w:color w:val="auto"/>
          <w:sz w:val="32"/>
          <w:szCs w:val="32"/>
          <w:u w:val="none"/>
        </w:rPr>
        <w:t>（三）体检依据</w:t>
      </w:r>
      <w:bookmarkEnd w:id="77"/>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w:t>
      </w:r>
      <w:r>
        <w:rPr>
          <w:rFonts w:hint="eastAsia" w:ascii="仿宋_GB2312" w:eastAsia="仿宋_GB2312"/>
          <w:color w:val="auto"/>
          <w:sz w:val="32"/>
          <w:szCs w:val="32"/>
          <w:highlight w:val="none"/>
          <w:lang w:val="en-US" w:eastAsia="zh-CN"/>
        </w:rPr>
        <w:t>区人社局</w:t>
      </w:r>
      <w:r>
        <w:rPr>
          <w:rFonts w:hint="eastAsia" w:ascii="仿宋_GB2312" w:eastAsia="仿宋_GB2312"/>
          <w:color w:val="auto"/>
          <w:sz w:val="32"/>
          <w:szCs w:val="32"/>
          <w:highlight w:val="none"/>
          <w:lang w:eastAsia="zh-CN"/>
        </w:rPr>
        <w:t>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从事放射岗位人员还需根据《放射工作人员职业健康监护技术规范》（卫通〔2011〕2号）完成岗前必检项目的体检。</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78" w:name="_Toc36069231"/>
      <w:r>
        <w:rPr>
          <w:rFonts w:hint="eastAsia" w:ascii="楷体_GB2312" w:eastAsia="楷体_GB2312" w:cs="楷体_GB2312"/>
          <w:b/>
          <w:bCs/>
          <w:color w:val="auto"/>
          <w:sz w:val="32"/>
          <w:szCs w:val="32"/>
          <w:u w:val="none"/>
        </w:rPr>
        <w:t>（四）体检复检</w:t>
      </w:r>
      <w:bookmarkEnd w:id="78"/>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79" w:name="_Toc36069232"/>
      <w:r>
        <w:rPr>
          <w:rFonts w:hint="eastAsia" w:ascii="楷体_GB2312" w:eastAsia="楷体_GB2312" w:cs="楷体_GB2312"/>
          <w:b/>
          <w:bCs/>
          <w:color w:val="auto"/>
          <w:sz w:val="32"/>
          <w:szCs w:val="32"/>
          <w:u w:val="none"/>
        </w:rPr>
        <w:t>（五）可延迟体检的情形</w:t>
      </w:r>
      <w:bookmarkEnd w:id="79"/>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80" w:name="_Toc36069233"/>
      <w:r>
        <w:rPr>
          <w:rFonts w:hint="eastAsia" w:ascii="楷体_GB2312" w:eastAsia="楷体_GB2312" w:cs="楷体_GB2312"/>
          <w:b/>
          <w:bCs/>
          <w:color w:val="auto"/>
          <w:sz w:val="32"/>
          <w:szCs w:val="32"/>
          <w:u w:val="none"/>
        </w:rPr>
        <w:t>（六）考察</w:t>
      </w:r>
      <w:bookmarkEnd w:id="80"/>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lang w:val="en-US" w:eastAsia="zh-CN"/>
        </w:rPr>
        <w:t>考察工作前，通过中国执行信息公开网（http://zxgk.court.gov.cn/）核实考察对象有无失信被执行的情况。被依法列为失信联合惩戒对象的，不得报考或</w:t>
      </w:r>
      <w:bookmarkStart w:id="124" w:name="_GoBack"/>
      <w:bookmarkEnd w:id="124"/>
      <w:r>
        <w:rPr>
          <w:rFonts w:hint="eastAsia" w:ascii="仿宋_GB2312" w:eastAsia="仿宋_GB2312"/>
          <w:color w:val="auto"/>
          <w:sz w:val="32"/>
          <w:szCs w:val="32"/>
          <w:highlight w:val="none"/>
          <w:lang w:val="en-US" w:eastAsia="zh-CN"/>
        </w:rPr>
        <w:t>取消报考（聘用）资格。</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81" w:name="_Toc36069234"/>
      <w:r>
        <w:rPr>
          <w:rFonts w:hint="eastAsia" w:ascii="黑体" w:eastAsia="黑体" w:cs="黑体"/>
          <w:b w:val="0"/>
          <w:bCs w:val="0"/>
          <w:color w:val="auto"/>
          <w:sz w:val="32"/>
          <w:szCs w:val="32"/>
          <w:u w:val="none"/>
          <w:lang w:val="en-US" w:eastAsia="zh-CN"/>
        </w:rPr>
        <w:t>十二、</w:t>
      </w:r>
      <w:r>
        <w:rPr>
          <w:rFonts w:hint="eastAsia" w:ascii="黑体" w:eastAsia="黑体" w:cs="黑体"/>
          <w:b w:val="0"/>
          <w:bCs w:val="0"/>
          <w:color w:val="auto"/>
          <w:sz w:val="32"/>
          <w:szCs w:val="32"/>
          <w:u w:val="none"/>
        </w:rPr>
        <w:t>公示</w:t>
      </w:r>
      <w:bookmarkEnd w:id="81"/>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根据岗位要求以及考试、体检、考察结果，确定拟聘用人员名单，并在“网上考务信息通知”公示7个工作日。公示内容包括招聘单位名称、招聘岗位、拟聘人员基本信息等。</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ascii="黑体" w:eastAsia="黑体" w:cs="黑体"/>
          <w:b w:val="0"/>
          <w:bCs w:val="0"/>
          <w:color w:val="auto"/>
          <w:sz w:val="32"/>
          <w:szCs w:val="32"/>
          <w:u w:val="none"/>
          <w:lang w:val="en-US" w:eastAsia="zh-CN"/>
        </w:rPr>
      </w:pPr>
      <w:bookmarkStart w:id="82" w:name="_Toc36069235"/>
      <w:r>
        <w:rPr>
          <w:rFonts w:hint="eastAsia" w:ascii="黑体" w:eastAsia="黑体" w:cs="黑体"/>
          <w:b w:val="0"/>
          <w:bCs w:val="0"/>
          <w:color w:val="auto"/>
          <w:sz w:val="32"/>
          <w:szCs w:val="32"/>
          <w:u w:val="none"/>
          <w:lang w:val="en-US" w:eastAsia="zh-CN"/>
        </w:rPr>
        <w:t>十三、聘用办理</w:t>
      </w:r>
      <w:bookmarkEnd w:id="82"/>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83" w:name="_Toc36069236"/>
      <w:bookmarkStart w:id="84" w:name="_Toc3099"/>
      <w:r>
        <w:rPr>
          <w:rFonts w:hint="eastAsia" w:ascii="楷体_GB2312" w:eastAsia="楷体_GB2312" w:cs="楷体_GB2312"/>
          <w:b/>
          <w:bCs/>
          <w:color w:val="auto"/>
          <w:sz w:val="32"/>
          <w:szCs w:val="32"/>
          <w:u w:val="none"/>
        </w:rPr>
        <w:t>（一）聘用手续办理</w:t>
      </w:r>
      <w:bookmarkEnd w:id="83"/>
      <w:bookmarkEnd w:id="84"/>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85" w:name="_Toc36069237"/>
      <w:bookmarkStart w:id="86" w:name="_Toc9234"/>
      <w:r>
        <w:rPr>
          <w:rFonts w:hint="eastAsia" w:ascii="楷体_GB2312" w:eastAsia="楷体_GB2312" w:cs="楷体_GB2312"/>
          <w:b/>
          <w:bCs/>
          <w:color w:val="auto"/>
          <w:sz w:val="32"/>
          <w:szCs w:val="32"/>
          <w:u w:val="none"/>
        </w:rPr>
        <w:t>（二）岗位聘任</w:t>
      </w:r>
      <w:bookmarkEnd w:id="85"/>
      <w:bookmarkEnd w:id="86"/>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招聘单位对拟聘人员的聘用须按照事业单位岗位设置管理规定</w:t>
      </w:r>
      <w:r>
        <w:rPr>
          <w:rFonts w:hint="eastAsia" w:ascii="仿宋_GB2312" w:eastAsia="仿宋_GB2312" w:cs="仿宋_GB2312"/>
          <w:b w:val="0"/>
          <w:bCs w:val="0"/>
          <w:color w:val="auto"/>
          <w:sz w:val="32"/>
          <w:szCs w:val="32"/>
          <w:u w:val="none"/>
          <w:lang w:eastAsia="zh-CN"/>
        </w:rPr>
        <w:t>，</w:t>
      </w:r>
      <w:r>
        <w:rPr>
          <w:rFonts w:hint="eastAsia" w:ascii="仿宋_GB2312" w:eastAsia="仿宋_GB2312" w:cs="仿宋_GB2312"/>
          <w:b w:val="0"/>
          <w:bCs w:val="0"/>
          <w:color w:val="auto"/>
          <w:sz w:val="32"/>
          <w:szCs w:val="32"/>
          <w:u w:val="none"/>
        </w:rPr>
        <w:t>按本单位发布的招聘岗位类别和级别进行聘任。如招聘单位的拟聘岗位数量不足或拟聘人员不具备相应岗位聘任资格条件的，可实行高职低聘。</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87" w:name="_Toc36069238"/>
      <w:r>
        <w:rPr>
          <w:rFonts w:hint="eastAsia" w:ascii="黑体" w:eastAsia="黑体" w:cs="黑体"/>
          <w:b w:val="0"/>
          <w:bCs w:val="0"/>
          <w:color w:val="auto"/>
          <w:sz w:val="32"/>
          <w:szCs w:val="32"/>
          <w:u w:val="none"/>
          <w:lang w:val="en-US" w:eastAsia="zh-CN"/>
        </w:rPr>
        <w:t>十四、其他需说明事项</w:t>
      </w:r>
      <w:bookmarkEnd w:id="87"/>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rPr>
      </w:pPr>
      <w:bookmarkStart w:id="88" w:name="_Toc36069239"/>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lang w:val="en-US" w:eastAsia="zh-CN"/>
        </w:rPr>
        <w:t>一</w:t>
      </w:r>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rPr>
        <w:t>职称</w:t>
      </w:r>
      <w:bookmarkEnd w:id="88"/>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岗位资格条件要求的职称是指经社会化评审</w:t>
      </w:r>
      <w:r>
        <w:rPr>
          <w:rFonts w:hint="eastAsia" w:ascii="仿宋_GB2312" w:eastAsia="仿宋_GB2312"/>
          <w:color w:val="auto"/>
          <w:sz w:val="32"/>
          <w:szCs w:val="32"/>
          <w:lang w:eastAsia="zh-CN"/>
        </w:rPr>
        <w:t>、全国统一</w:t>
      </w:r>
      <w:r>
        <w:rPr>
          <w:rFonts w:hint="eastAsia" w:ascii="仿宋_GB2312" w:eastAsia="仿宋_GB2312"/>
          <w:color w:val="auto"/>
          <w:sz w:val="32"/>
          <w:szCs w:val="32"/>
        </w:rPr>
        <w:t>考试</w:t>
      </w:r>
      <w:r>
        <w:rPr>
          <w:rFonts w:hint="eastAsia" w:ascii="仿宋_GB2312" w:eastAsia="仿宋_GB2312"/>
          <w:color w:val="auto"/>
          <w:sz w:val="32"/>
          <w:szCs w:val="32"/>
          <w:lang w:eastAsia="zh-CN"/>
        </w:rPr>
        <w:t>或考核确认</w:t>
      </w:r>
      <w:r>
        <w:rPr>
          <w:rFonts w:hint="eastAsia" w:ascii="仿宋_GB2312" w:eastAsia="仿宋_GB2312"/>
          <w:color w:val="auto"/>
          <w:sz w:val="32"/>
          <w:szCs w:val="32"/>
        </w:rPr>
        <w:t>等方式取得的</w:t>
      </w:r>
      <w:r>
        <w:rPr>
          <w:rFonts w:hint="eastAsia" w:ascii="仿宋_GB2312" w:eastAsia="仿宋_GB2312"/>
          <w:color w:val="auto"/>
          <w:sz w:val="32"/>
          <w:szCs w:val="32"/>
          <w:lang w:eastAsia="zh-CN"/>
        </w:rPr>
        <w:t>专业技术职务任职资格</w:t>
      </w:r>
      <w:r>
        <w:rPr>
          <w:rFonts w:hint="eastAsia" w:ascii="仿宋_GB2312" w:eastAsia="仿宋_GB2312"/>
          <w:color w:val="auto"/>
          <w:sz w:val="32"/>
          <w:szCs w:val="32"/>
        </w:rPr>
        <w:t>，不含通过非公有制企业职称评审</w:t>
      </w:r>
      <w:r>
        <w:rPr>
          <w:rFonts w:hint="eastAsia" w:ascii="仿宋_GB2312" w:eastAsia="仿宋_GB2312"/>
          <w:color w:val="auto"/>
          <w:sz w:val="32"/>
          <w:szCs w:val="32"/>
          <w:lang w:eastAsia="zh-CN"/>
        </w:rPr>
        <w:t>方式</w:t>
      </w:r>
      <w:r>
        <w:rPr>
          <w:rFonts w:hint="eastAsia" w:ascii="仿宋_GB2312" w:eastAsia="仿宋_GB2312"/>
          <w:color w:val="auto"/>
          <w:sz w:val="32"/>
          <w:szCs w:val="32"/>
        </w:rPr>
        <w:t>取得的职称。</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rPr>
      </w:pPr>
      <w:bookmarkStart w:id="89" w:name="_Toc22170"/>
      <w:bookmarkStart w:id="90" w:name="_Toc19212"/>
      <w:r>
        <w:rPr>
          <w:rFonts w:hint="eastAsia" w:ascii="仿宋_GB2312" w:eastAsia="仿宋_GB2312"/>
          <w:color w:val="auto"/>
          <w:sz w:val="32"/>
          <w:szCs w:val="32"/>
        </w:rPr>
        <w:t>报考者已于报名截止日前通过岗位条件要求（含上述以非普通教育学历报考的考生须取得的资格要求）的相应资格证书考试（或评审等）但未取得证书的，须在资格复核时，提供有效的成绩单及是否通过考试的结论。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年毕业的医学专业“四证合一”应届研究生，在符合报考岗位其他资格条件的前提下，其医师资格证书可于202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年12月31日前随符合岗位报考条件的相应学历（位）证书一并提供。</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91" w:name="_Toc36069240"/>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lang w:val="en-US" w:eastAsia="zh-CN"/>
        </w:rPr>
        <w:t>二</w:t>
      </w:r>
      <w:r>
        <w:rPr>
          <w:rFonts w:hint="eastAsia" w:ascii="楷体_GB2312" w:eastAsia="楷体_GB2312" w:cs="楷体_GB2312"/>
          <w:b/>
          <w:bCs/>
          <w:color w:val="auto"/>
          <w:sz w:val="32"/>
          <w:szCs w:val="32"/>
          <w:u w:val="none"/>
          <w:lang w:eastAsia="zh-CN"/>
        </w:rPr>
        <w:t>）规范化培训</w:t>
      </w:r>
      <w:bookmarkEnd w:id="89"/>
      <w:bookmarkEnd w:id="90"/>
      <w:bookmarkEnd w:id="91"/>
    </w:p>
    <w:p>
      <w:pPr>
        <w:pageBreakBefore w:val="0"/>
        <w:widowControl w:val="0"/>
        <w:kinsoku/>
        <w:wordWrap/>
        <w:overflowPunct/>
        <w:topLinePunct w:val="0"/>
        <w:autoSpaceDE/>
        <w:autoSpaceDN/>
        <w:bidi w:val="0"/>
        <w:snapToGrid/>
        <w:spacing w:line="579"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岗位资格条件要求完成住院医师规范化培训的，是指按照《住院医师规范化培训内容和标准（试行）》完成住院医师规范化培训内容并取得合格证书。</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pageBreakBefore w:val="0"/>
        <w:widowControl w:val="0"/>
        <w:kinsoku/>
        <w:wordWrap/>
        <w:overflowPunct/>
        <w:topLinePunct w:val="0"/>
        <w:autoSpaceDE/>
        <w:autoSpaceDN/>
        <w:bidi w:val="0"/>
        <w:snapToGrid/>
        <w:spacing w:line="579"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报考者须于资格复核时提供岗位资格条件要求的规范化培训合格证书或通过考试成绩单。2022年毕业的医学专业“四证合一”应届研究生，在符合报考岗位其他资格条件的前提下，其住院医师规范化培训合格证书可于2022年12月31日前随符合岗位报考条件的学历、学位证书一并提供。</w:t>
      </w:r>
    </w:p>
    <w:p>
      <w:pPr>
        <w:pageBreakBefore w:val="0"/>
        <w:widowControl w:val="0"/>
        <w:kinsoku/>
        <w:wordWrap/>
        <w:overflowPunct/>
        <w:topLinePunct w:val="0"/>
        <w:autoSpaceDE/>
        <w:autoSpaceDN/>
        <w:bidi w:val="0"/>
        <w:snapToGrid/>
        <w:spacing w:line="579"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92" w:name="_Toc36069241"/>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lang w:val="en-US" w:eastAsia="zh-CN"/>
        </w:rPr>
        <w:t>三</w:t>
      </w:r>
      <w:r>
        <w:rPr>
          <w:rFonts w:hint="eastAsia" w:ascii="楷体_GB2312" w:eastAsia="楷体_GB2312" w:cs="楷体_GB2312"/>
          <w:b/>
          <w:bCs/>
          <w:color w:val="auto"/>
          <w:sz w:val="32"/>
          <w:szCs w:val="32"/>
          <w:u w:val="none"/>
          <w:lang w:eastAsia="zh-CN"/>
        </w:rPr>
        <w:t>）生源</w:t>
      </w:r>
      <w:bookmarkEnd w:id="92"/>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年应届毕业生；</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福建生源类推界定</w:t>
      </w:r>
    </w:p>
    <w:p>
      <w:pPr>
        <w:keepNext w:val="0"/>
        <w:keepLines w:val="0"/>
        <w:pageBreakBefore w:val="0"/>
        <w:widowControl w:val="0"/>
        <w:kinsoku/>
        <w:wordWrap/>
        <w:overflowPunct/>
        <w:topLinePunct w:val="0"/>
        <w:autoSpaceDE/>
        <w:autoSpaceDN/>
        <w:adjustRightInd/>
        <w:snapToGrid w:val="0"/>
        <w:spacing w:line="579" w:lineRule="exact"/>
        <w:ind w:left="0" w:firstLine="643" w:firstLineChars="200"/>
        <w:outlineLvl w:val="1"/>
        <w:rPr>
          <w:rFonts w:hint="eastAsia" w:ascii="楷体_GB2312" w:eastAsia="楷体_GB2312" w:cs="楷体_GB2312"/>
          <w:b/>
          <w:bCs/>
          <w:sz w:val="32"/>
          <w:szCs w:val="32"/>
        </w:rPr>
      </w:pPr>
      <w:bookmarkStart w:id="93" w:name="_Toc20667"/>
      <w:bookmarkStart w:id="94" w:name="_Toc9207"/>
      <w:bookmarkStart w:id="95" w:name="_Toc4062"/>
      <w:bookmarkStart w:id="96" w:name="_Toc18949"/>
      <w:bookmarkStart w:id="97" w:name="_Toc4591"/>
      <w:bookmarkStart w:id="98" w:name="_Toc12825"/>
      <w:bookmarkStart w:id="99" w:name="_Toc36069242"/>
      <w:bookmarkStart w:id="100" w:name="_Toc21766"/>
      <w:bookmarkStart w:id="101" w:name="_Toc9505"/>
      <w:bookmarkStart w:id="102" w:name="_Toc14906"/>
      <w:r>
        <w:rPr>
          <w:rFonts w:hint="eastAsia" w:ascii="楷体_GB2312" w:eastAsia="楷体_GB2312" w:cs="楷体_GB2312"/>
          <w:b/>
          <w:bCs/>
          <w:sz w:val="32"/>
          <w:szCs w:val="32"/>
        </w:rPr>
        <w:t>（四）应届高校毕业生</w:t>
      </w:r>
      <w:bookmarkEnd w:id="93"/>
      <w:bookmarkEnd w:id="94"/>
      <w:bookmarkEnd w:id="95"/>
      <w:bookmarkEnd w:id="96"/>
      <w:bookmarkEnd w:id="97"/>
      <w:bookmarkEnd w:id="98"/>
      <w:bookmarkEnd w:id="99"/>
      <w:bookmarkEnd w:id="100"/>
      <w:bookmarkEnd w:id="101"/>
      <w:bookmarkEnd w:id="102"/>
    </w:p>
    <w:p>
      <w:pPr>
        <w:pageBreakBefore w:val="0"/>
        <w:widowControl w:val="0"/>
        <w:kinsoku/>
        <w:wordWrap/>
        <w:overflowPunct/>
        <w:topLinePunct w:val="0"/>
        <w:autoSpaceDE/>
        <w:autoSpaceDN/>
        <w:bidi w:val="0"/>
        <w:snapToGrid/>
        <w:spacing w:line="579" w:lineRule="exact"/>
        <w:ind w:left="0" w:firstLine="640" w:firstLineChars="200"/>
        <w:textAlignment w:val="auto"/>
        <w:rPr>
          <w:rFonts w:hint="eastAsia" w:ascii="仿宋_GB2312" w:eastAsia="仿宋_GB2312" w:cs="仿宋_GB2312"/>
          <w:sz w:val="32"/>
          <w:szCs w:val="32"/>
        </w:rPr>
      </w:pPr>
      <w:bookmarkStart w:id="103" w:name="_Toc21903"/>
      <w:bookmarkStart w:id="104" w:name="_Toc30902"/>
      <w:bookmarkStart w:id="105" w:name="_Toc26030"/>
      <w:bookmarkStart w:id="106" w:name="_Toc20713"/>
      <w:bookmarkStart w:id="107" w:name="_Toc29449"/>
      <w:bookmarkStart w:id="108" w:name="_Toc16363"/>
      <w:r>
        <w:rPr>
          <w:rFonts w:hint="eastAsia" w:ascii="仿宋_GB2312" w:eastAsia="仿宋_GB2312" w:cs="仿宋_GB2312"/>
          <w:sz w:val="32"/>
          <w:szCs w:val="32"/>
        </w:rPr>
        <w:t>参照国家、福建省有关文件政策，本次公开招聘岗位资格条件中涉及面向应届高校毕业生的，包含以下对象：</w:t>
      </w:r>
      <w:bookmarkEnd w:id="103"/>
      <w:bookmarkEnd w:id="104"/>
      <w:bookmarkEnd w:id="105"/>
      <w:bookmarkEnd w:id="106"/>
      <w:bookmarkEnd w:id="107"/>
      <w:bookmarkEnd w:id="108"/>
    </w:p>
    <w:p>
      <w:pPr>
        <w:pageBreakBefore w:val="0"/>
        <w:widowControl w:val="0"/>
        <w:kinsoku/>
        <w:wordWrap/>
        <w:overflowPunct/>
        <w:topLinePunct w:val="0"/>
        <w:autoSpaceDE/>
        <w:autoSpaceDN/>
        <w:bidi w:val="0"/>
        <w:snapToGrid/>
        <w:spacing w:line="579"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1.2022届毕业生。在2022年1月1日至2022年12月31日间（以证书落款时间为准）取得国家承认的学历、学位证书的高校毕业生。</w:t>
      </w:r>
    </w:p>
    <w:p>
      <w:pPr>
        <w:pageBreakBefore w:val="0"/>
        <w:widowControl w:val="0"/>
        <w:kinsoku/>
        <w:wordWrap/>
        <w:overflowPunct/>
        <w:topLinePunct w:val="0"/>
        <w:autoSpaceDE/>
        <w:autoSpaceDN/>
        <w:bidi w:val="0"/>
        <w:snapToGrid/>
        <w:spacing w:line="579"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2.截至报名截止日，离校未就业的2020届、2021届毕业生。2020届、2021届毕业生按照上述2022届毕业生进行类推界定。</w:t>
      </w:r>
    </w:p>
    <w:p>
      <w:pPr>
        <w:pageBreakBefore w:val="0"/>
        <w:widowControl w:val="0"/>
        <w:kinsoku/>
        <w:wordWrap/>
        <w:overflowPunct/>
        <w:topLinePunct w:val="0"/>
        <w:autoSpaceDE/>
        <w:autoSpaceDN/>
        <w:bidi w:val="0"/>
        <w:snapToGrid/>
        <w:spacing w:line="579"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3.持国（境）外学历（位）报考人员按上述两点类推界定，毕业时间界定以本须知“</w:t>
      </w:r>
      <w:r>
        <w:rPr>
          <w:rFonts w:ascii="仿宋_GB2312" w:eastAsia="仿宋_GB2312" w:cs="仿宋_GB2312"/>
          <w:sz w:val="32"/>
          <w:szCs w:val="32"/>
        </w:rPr>
        <w:t>五</w:t>
      </w:r>
      <w:r>
        <w:rPr>
          <w:rFonts w:hint="eastAsia" w:ascii="仿宋_GB2312" w:eastAsia="仿宋_GB2312" w:cs="仿宋_GB2312"/>
          <w:sz w:val="32"/>
          <w:szCs w:val="32"/>
        </w:rPr>
        <w:t>、学历（位）认定”第（二）部分“国（境）外学历（位）”所述材料确定的学历（位）获得时间为准。</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4.参加服务基层项目前无工作经历、服务期满考核合格后未享受优惠政策进入机关事业单位、期满考核合格2年内（指2020年后期满）的高校毕业生。“参加基层服务项目”的界定详见本须知“九、笔试加分”第（二）部分“加分</w:t>
      </w:r>
      <w:r>
        <w:rPr>
          <w:rFonts w:ascii="仿宋_GB2312" w:eastAsia="仿宋_GB2312" w:cs="仿宋_GB2312"/>
          <w:sz w:val="32"/>
          <w:szCs w:val="32"/>
        </w:rPr>
        <w:t>对象</w:t>
      </w:r>
      <w:r>
        <w:rPr>
          <w:rFonts w:hint="eastAsia" w:ascii="仿宋_GB2312" w:eastAsia="仿宋_GB2312" w:cs="仿宋_GB2312"/>
          <w:sz w:val="32"/>
          <w:szCs w:val="32"/>
        </w:rPr>
        <w:t>”中的“1.服务基层项目高校毕业人员”内容。</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ascii="楷体_GB2312" w:eastAsia="楷体_GB2312" w:cs="楷体_GB2312"/>
          <w:b/>
          <w:bCs/>
          <w:color w:val="auto"/>
          <w:sz w:val="32"/>
          <w:szCs w:val="32"/>
          <w:u w:val="none"/>
          <w:lang w:eastAsia="zh-CN"/>
        </w:rPr>
      </w:pPr>
      <w:r>
        <w:rPr>
          <w:rFonts w:hint="eastAsia" w:ascii="仿宋_GB2312" w:eastAsia="仿宋_GB2312"/>
          <w:color w:val="auto"/>
          <w:sz w:val="32"/>
          <w:szCs w:val="32"/>
          <w:highlight w:val="none"/>
        </w:rPr>
        <w:t>报考</w:t>
      </w:r>
      <w:r>
        <w:rPr>
          <w:rFonts w:ascii="仿宋_GB2312" w:eastAsia="仿宋_GB2312"/>
          <w:color w:val="auto"/>
          <w:sz w:val="32"/>
          <w:szCs w:val="32"/>
          <w:highlight w:val="none"/>
        </w:rPr>
        <w:t>面向</w:t>
      </w:r>
      <w:r>
        <w:rPr>
          <w:rFonts w:hint="eastAsia" w:ascii="仿宋_GB2312" w:eastAsia="仿宋_GB2312"/>
          <w:color w:val="auto"/>
          <w:sz w:val="32"/>
          <w:szCs w:val="32"/>
          <w:highlight w:val="none"/>
          <w:lang w:eastAsia="zh-CN"/>
        </w:rPr>
        <w:t>应届</w:t>
      </w:r>
      <w:r>
        <w:rPr>
          <w:rFonts w:ascii="仿宋_GB2312" w:eastAsia="仿宋_GB2312"/>
          <w:color w:val="auto"/>
          <w:sz w:val="32"/>
          <w:szCs w:val="32"/>
          <w:highlight w:val="none"/>
          <w:lang w:eastAsia="zh-CN"/>
        </w:rPr>
        <w:t>高校</w:t>
      </w:r>
      <w:r>
        <w:rPr>
          <w:rFonts w:hint="eastAsia" w:ascii="仿宋_GB2312" w:eastAsia="仿宋_GB2312"/>
          <w:color w:val="auto"/>
          <w:sz w:val="32"/>
          <w:szCs w:val="32"/>
          <w:highlight w:val="none"/>
          <w:lang w:eastAsia="zh-CN"/>
        </w:rPr>
        <w:t>毕业生岗位</w:t>
      </w:r>
      <w:r>
        <w:rPr>
          <w:rFonts w:hint="eastAsia" w:ascii="仿宋_GB2312" w:eastAsia="仿宋_GB2312"/>
          <w:color w:val="auto"/>
          <w:sz w:val="32"/>
          <w:szCs w:val="32"/>
          <w:highlight w:val="none"/>
        </w:rPr>
        <w:t>人员须在网上报名时如实填报</w:t>
      </w:r>
      <w:r>
        <w:rPr>
          <w:rFonts w:hint="eastAsia" w:ascii="仿宋_GB2312" w:eastAsia="仿宋_GB2312"/>
          <w:color w:val="auto"/>
          <w:sz w:val="32"/>
          <w:szCs w:val="32"/>
          <w:highlight w:val="none"/>
          <w:lang w:eastAsia="zh-CN"/>
        </w:rPr>
        <w:t>。报考面向应届</w:t>
      </w:r>
      <w:r>
        <w:rPr>
          <w:rFonts w:ascii="仿宋_GB2312" w:eastAsia="仿宋_GB2312"/>
          <w:color w:val="auto"/>
          <w:sz w:val="32"/>
          <w:szCs w:val="32"/>
          <w:highlight w:val="none"/>
          <w:lang w:eastAsia="zh-CN"/>
        </w:rPr>
        <w:t>高校</w:t>
      </w:r>
      <w:r>
        <w:rPr>
          <w:rFonts w:hint="eastAsia" w:ascii="仿宋_GB2312" w:eastAsia="仿宋_GB2312"/>
          <w:color w:val="auto"/>
          <w:sz w:val="32"/>
          <w:szCs w:val="32"/>
          <w:highlight w:val="none"/>
          <w:lang w:eastAsia="zh-CN"/>
        </w:rPr>
        <w:t>毕业生岗位的考生须认真阅读上述条件，确认符合条件才可报名，其中：离校未就业的</w:t>
      </w: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lang w:val="en-US" w:eastAsia="zh-CN"/>
        </w:rPr>
        <w:t>届、202</w:t>
      </w:r>
      <w:r>
        <w:rPr>
          <w:rFonts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届毕业生</w:t>
      </w:r>
      <w:r>
        <w:rPr>
          <w:rFonts w:hint="eastAsia" w:ascii="仿宋_GB2312" w:eastAsia="仿宋_GB2312"/>
          <w:color w:val="auto"/>
          <w:sz w:val="32"/>
          <w:szCs w:val="32"/>
          <w:highlight w:val="none"/>
          <w:lang w:eastAsia="zh-CN"/>
        </w:rPr>
        <w:t>报考面向应届</w:t>
      </w:r>
      <w:r>
        <w:rPr>
          <w:rFonts w:ascii="仿宋_GB2312" w:eastAsia="仿宋_GB2312"/>
          <w:color w:val="auto"/>
          <w:sz w:val="32"/>
          <w:szCs w:val="32"/>
          <w:highlight w:val="none"/>
          <w:lang w:eastAsia="zh-CN"/>
        </w:rPr>
        <w:t>高校</w:t>
      </w:r>
      <w:r>
        <w:rPr>
          <w:rFonts w:hint="eastAsia" w:ascii="仿宋_GB2312" w:eastAsia="仿宋_GB2312"/>
          <w:color w:val="auto"/>
          <w:sz w:val="32"/>
          <w:szCs w:val="32"/>
          <w:highlight w:val="none"/>
          <w:lang w:eastAsia="zh-CN"/>
        </w:rPr>
        <w:t>毕业生岗位，需在资格复核时提交《离校未就业的高校毕业生报考承诺书》，各招聘单位及主管部门将会</w:t>
      </w:r>
      <w:r>
        <w:rPr>
          <w:rFonts w:hint="eastAsia" w:ascii="仿宋_GB2312" w:eastAsia="仿宋_GB2312"/>
          <w:color w:val="auto"/>
          <w:sz w:val="32"/>
          <w:szCs w:val="32"/>
          <w:highlight w:val="none"/>
          <w:lang w:val="en-US" w:eastAsia="zh-CN"/>
        </w:rPr>
        <w:t>根据毕业生是否与用人单位签订劳动（聘用）合同、有无医社保缴纳记录等情况对毕业生是否落实工作单位进行核验。</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109" w:name="_Toc36069243"/>
      <w:r>
        <w:rPr>
          <w:rFonts w:hint="eastAsia" w:ascii="楷体_GB2312" w:eastAsia="楷体_GB2312" w:cs="楷体_GB2312"/>
          <w:b/>
          <w:bCs/>
          <w:color w:val="auto"/>
          <w:sz w:val="32"/>
          <w:szCs w:val="32"/>
          <w:u w:val="none"/>
          <w:lang w:eastAsia="zh-CN"/>
        </w:rPr>
        <w:t>（</w:t>
      </w:r>
      <w:r>
        <w:rPr>
          <w:rFonts w:ascii="楷体_GB2312" w:eastAsia="楷体_GB2312" w:cs="楷体_GB2312"/>
          <w:b/>
          <w:bCs/>
          <w:color w:val="auto"/>
          <w:sz w:val="32"/>
          <w:szCs w:val="32"/>
          <w:u w:val="none"/>
          <w:lang w:val="en-US" w:eastAsia="zh-CN"/>
        </w:rPr>
        <w:t>五</w:t>
      </w:r>
      <w:r>
        <w:rPr>
          <w:rFonts w:hint="eastAsia" w:ascii="楷体_GB2312" w:eastAsia="楷体_GB2312" w:cs="楷体_GB2312"/>
          <w:b/>
          <w:bCs/>
          <w:color w:val="auto"/>
          <w:sz w:val="32"/>
          <w:szCs w:val="32"/>
          <w:u w:val="none"/>
          <w:lang w:eastAsia="zh-CN"/>
        </w:rPr>
        <w:t>）港澳台人员</w:t>
      </w:r>
      <w:bookmarkEnd w:id="109"/>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港澳台人员（不得持有外国籍）的招聘，按照国家、省和我市有关规定办理。</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110" w:name="_Toc36069244"/>
      <w:r>
        <w:rPr>
          <w:rFonts w:hint="eastAsia" w:ascii="楷体_GB2312" w:eastAsia="楷体_GB2312" w:cs="楷体_GB2312"/>
          <w:b/>
          <w:bCs/>
          <w:color w:val="auto"/>
          <w:sz w:val="32"/>
          <w:szCs w:val="32"/>
          <w:u w:val="none"/>
          <w:lang w:eastAsia="zh-CN"/>
        </w:rPr>
        <w:t>（</w:t>
      </w:r>
      <w:r>
        <w:rPr>
          <w:rFonts w:ascii="楷体_GB2312" w:eastAsia="楷体_GB2312" w:cs="楷体_GB2312"/>
          <w:b/>
          <w:bCs/>
          <w:color w:val="auto"/>
          <w:sz w:val="32"/>
          <w:szCs w:val="32"/>
          <w:u w:val="none"/>
          <w:lang w:val="en-US" w:eastAsia="zh-CN"/>
        </w:rPr>
        <w:t>六</w:t>
      </w:r>
      <w:r>
        <w:rPr>
          <w:rFonts w:hint="eastAsia" w:ascii="楷体_GB2312" w:eastAsia="楷体_GB2312" w:cs="楷体_GB2312"/>
          <w:b/>
          <w:bCs/>
          <w:color w:val="auto"/>
          <w:sz w:val="32"/>
          <w:szCs w:val="32"/>
          <w:u w:val="none"/>
          <w:lang w:eastAsia="zh-CN"/>
        </w:rPr>
        <w:t>）技工院校毕业生</w:t>
      </w:r>
      <w:bookmarkEnd w:id="110"/>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111" w:name="_Toc36069245"/>
      <w:r>
        <w:rPr>
          <w:rFonts w:hint="eastAsia" w:ascii="黑体" w:eastAsia="黑体" w:cs="黑体"/>
          <w:b w:val="0"/>
          <w:bCs w:val="0"/>
          <w:color w:val="auto"/>
          <w:sz w:val="32"/>
          <w:szCs w:val="32"/>
          <w:u w:val="none"/>
          <w:lang w:val="en-US" w:eastAsia="zh-CN"/>
        </w:rPr>
        <w:t>十五、</w:t>
      </w:r>
      <w:r>
        <w:rPr>
          <w:rFonts w:hint="eastAsia" w:ascii="黑体" w:eastAsia="黑体" w:cs="黑体"/>
          <w:b w:val="0"/>
          <w:bCs w:val="0"/>
          <w:color w:val="auto"/>
          <w:sz w:val="32"/>
          <w:szCs w:val="32"/>
          <w:u w:val="none"/>
        </w:rPr>
        <w:t>网上报名操作须知</w:t>
      </w:r>
      <w:bookmarkEnd w:id="111"/>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112" w:name="_Toc36069246"/>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lang w:val="en-US" w:eastAsia="zh-CN"/>
        </w:rPr>
        <w:t>一</w:t>
      </w:r>
      <w:r>
        <w:rPr>
          <w:rFonts w:hint="eastAsia" w:ascii="楷体_GB2312" w:eastAsia="楷体_GB2312" w:cs="楷体_GB2312"/>
          <w:b/>
          <w:bCs/>
          <w:color w:val="auto"/>
          <w:sz w:val="32"/>
          <w:szCs w:val="32"/>
          <w:u w:val="none"/>
          <w:lang w:eastAsia="zh-CN"/>
        </w:rPr>
        <w:t>）个人密码重置</w:t>
      </w:r>
      <w:r>
        <w:rPr>
          <w:rFonts w:hint="eastAsia" w:ascii="楷体_GB2312" w:eastAsia="楷体_GB2312" w:cs="楷体_GB2312"/>
          <w:b/>
          <w:bCs/>
          <w:color w:val="auto"/>
          <w:sz w:val="32"/>
          <w:szCs w:val="32"/>
          <w:u w:val="none"/>
          <w:lang w:eastAsia="zh-CN"/>
        </w:rPr>
        <w:tab/>
      </w:r>
      <w:bookmarkEnd w:id="112"/>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第一种：</w:t>
      </w:r>
      <w:r>
        <w:rPr>
          <w:rFonts w:hint="eastAsia" w:ascii="仿宋_GB2312" w:eastAsia="仿宋_GB2312"/>
          <w:color w:val="auto"/>
          <w:sz w:val="32"/>
          <w:szCs w:val="32"/>
          <w:highlight w:val="none"/>
        </w:rPr>
        <w:t>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b/>
          <w:bCs/>
          <w:color w:val="auto"/>
          <w:sz w:val="32"/>
          <w:szCs w:val="32"/>
          <w:highlight w:val="none"/>
        </w:rPr>
        <w:t>第二种：</w:t>
      </w:r>
      <w:r>
        <w:rPr>
          <w:rFonts w:hint="eastAsia" w:ascii="仿宋_GB2312" w:eastAsia="仿宋_GB2312"/>
          <w:color w:val="auto"/>
          <w:sz w:val="32"/>
          <w:szCs w:val="32"/>
          <w:highlight w:val="none"/>
        </w:rPr>
        <w:t>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r>
        <w:rPr>
          <w:rFonts w:hint="eastAsia" w:asci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113" w:name="_Toc36069247"/>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lang w:val="en-US" w:eastAsia="zh-CN"/>
        </w:rPr>
        <w:t>二</w:t>
      </w:r>
      <w:r>
        <w:rPr>
          <w:rFonts w:hint="eastAsia" w:ascii="楷体_GB2312" w:eastAsia="楷体_GB2312" w:cs="楷体_GB2312"/>
          <w:b/>
          <w:bCs/>
          <w:color w:val="auto"/>
          <w:sz w:val="32"/>
          <w:szCs w:val="32"/>
          <w:u w:val="none"/>
          <w:lang w:eastAsia="zh-CN"/>
        </w:rPr>
        <w:t>）报名信息填写</w:t>
      </w:r>
      <w:bookmarkEnd w:id="113"/>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请考生认真对照岗位资格条件等要求，务必准确、完整填写截至报名日的相关个人信息。</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rPr>
          <w:rFonts w:hint="eastAsia" w:ascii="仿宋_GB2312" w:eastAsia="仿宋_GB2312" w:cs="仿宋_GB2312"/>
          <w:b w:val="0"/>
          <w:bCs w:val="0"/>
          <w:color w:val="auto"/>
          <w:sz w:val="32"/>
          <w:szCs w:val="32"/>
          <w:u w:val="none"/>
        </w:rPr>
      </w:pPr>
      <w:bookmarkStart w:id="114" w:name="_Toc3262"/>
      <w:bookmarkStart w:id="115" w:name="_Toc10868"/>
      <w:bookmarkStart w:id="116" w:name="_Toc16055"/>
      <w:r>
        <w:rPr>
          <w:rFonts w:hint="eastAsia" w:ascii="仿宋_GB2312" w:eastAsia="仿宋_GB2312" w:cs="仿宋_GB2312"/>
          <w:b/>
          <w:bCs/>
          <w:color w:val="auto"/>
          <w:sz w:val="32"/>
          <w:szCs w:val="32"/>
          <w:u w:val="none"/>
        </w:rPr>
        <w:t>1.首次在报名系统注册的考生</w:t>
      </w:r>
      <w:bookmarkEnd w:id="114"/>
      <w:bookmarkEnd w:id="115"/>
      <w:bookmarkEnd w:id="116"/>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考生应登录“报名系统”，根据截至报名日实际情况逐一填写个人相关信息，包括“我的基本信息”和“教育工作背景”等。</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rPr>
          <w:rFonts w:hint="eastAsia" w:ascii="仿宋_GB2312" w:eastAsia="仿宋_GB2312" w:cs="仿宋_GB2312"/>
          <w:b/>
          <w:bCs/>
          <w:color w:val="auto"/>
          <w:sz w:val="32"/>
          <w:szCs w:val="32"/>
          <w:u w:val="none"/>
        </w:rPr>
      </w:pPr>
      <w:bookmarkStart w:id="117" w:name="_Toc5835"/>
      <w:bookmarkStart w:id="118" w:name="_Toc16611"/>
      <w:bookmarkStart w:id="119" w:name="_Toc13506"/>
      <w:r>
        <w:rPr>
          <w:rFonts w:hint="eastAsia" w:ascii="仿宋_GB2312" w:eastAsia="仿宋_GB2312" w:cs="仿宋_GB2312"/>
          <w:b/>
          <w:bCs/>
          <w:color w:val="auto"/>
          <w:sz w:val="32"/>
          <w:szCs w:val="32"/>
          <w:u w:val="none"/>
        </w:rPr>
        <w:t>2.曾在报名系统注册的考生</w:t>
      </w:r>
      <w:bookmarkEnd w:id="117"/>
      <w:bookmarkEnd w:id="118"/>
      <w:bookmarkEnd w:id="119"/>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务必再次重新修改完善个人相关信息。报名提交审核后修改填写的个人信息，系统将无法更新，导致报考单位按之前信息审核认定不合格。</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120" w:name="_Toc36069248"/>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lang w:val="en-US" w:eastAsia="zh-CN"/>
        </w:rPr>
        <w:t>三</w:t>
      </w:r>
      <w:r>
        <w:rPr>
          <w:rFonts w:hint="eastAsia" w:ascii="楷体_GB2312" w:eastAsia="楷体_GB2312" w:cs="楷体_GB2312"/>
          <w:b/>
          <w:bCs/>
          <w:color w:val="auto"/>
          <w:sz w:val="32"/>
          <w:szCs w:val="32"/>
          <w:u w:val="none"/>
          <w:lang w:eastAsia="zh-CN"/>
        </w:rPr>
        <w:t>）报名次数限定</w:t>
      </w:r>
      <w:bookmarkEnd w:id="120"/>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同一个岗位考生最多提交审核3次。在招聘单位未审核前，考生可以在“已报名情况”中自行取消报名，自行取消报名次数不限。通过审核后不得取消或更改报名岗位。</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s="仿宋_GB2312"/>
          <w:b w:val="0"/>
          <w:bCs w:val="0"/>
          <w:color w:val="auto"/>
          <w:sz w:val="32"/>
          <w:szCs w:val="32"/>
          <w:u w:val="none"/>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keepNext w:val="0"/>
        <w:keepLines w:val="0"/>
        <w:pageBreakBefore w:val="0"/>
        <w:widowControl w:val="0"/>
        <w:kinsoku/>
        <w:wordWrap/>
        <w:overflowPunct/>
        <w:topLinePunct w:val="0"/>
        <w:autoSpaceDE/>
        <w:autoSpaceDN/>
        <w:bidi w:val="0"/>
        <w:adjustRightInd/>
        <w:snapToGrid w:val="0"/>
        <w:spacing w:line="579" w:lineRule="exact"/>
        <w:ind w:left="0" w:firstLine="643" w:firstLineChars="200"/>
        <w:jc w:val="both"/>
        <w:textAlignment w:val="auto"/>
        <w:outlineLvl w:val="1"/>
        <w:rPr>
          <w:rFonts w:hint="eastAsia" w:ascii="楷体_GB2312" w:eastAsia="楷体_GB2312" w:cs="楷体_GB2312"/>
          <w:b/>
          <w:bCs/>
          <w:color w:val="auto"/>
          <w:sz w:val="32"/>
          <w:szCs w:val="32"/>
          <w:u w:val="none"/>
          <w:lang w:eastAsia="zh-CN"/>
        </w:rPr>
      </w:pPr>
      <w:bookmarkStart w:id="121" w:name="_Toc36069249"/>
      <w:r>
        <w:rPr>
          <w:rFonts w:hint="eastAsia" w:ascii="楷体_GB2312" w:eastAsia="楷体_GB2312" w:cs="楷体_GB2312"/>
          <w:b/>
          <w:bCs/>
          <w:color w:val="auto"/>
          <w:sz w:val="32"/>
          <w:szCs w:val="32"/>
          <w:u w:val="none"/>
          <w:lang w:eastAsia="zh-CN"/>
        </w:rPr>
        <w:t>（</w:t>
      </w:r>
      <w:r>
        <w:rPr>
          <w:rFonts w:hint="eastAsia" w:ascii="楷体_GB2312" w:eastAsia="楷体_GB2312" w:cs="楷体_GB2312"/>
          <w:b/>
          <w:bCs/>
          <w:color w:val="auto"/>
          <w:sz w:val="32"/>
          <w:szCs w:val="32"/>
          <w:u w:val="none"/>
          <w:lang w:val="en-US" w:eastAsia="zh-CN"/>
        </w:rPr>
        <w:t>四</w:t>
      </w:r>
      <w:r>
        <w:rPr>
          <w:rFonts w:hint="eastAsia" w:ascii="楷体_GB2312" w:eastAsia="楷体_GB2312" w:cs="楷体_GB2312"/>
          <w:b/>
          <w:bCs/>
          <w:color w:val="auto"/>
          <w:sz w:val="32"/>
          <w:szCs w:val="32"/>
          <w:u w:val="none"/>
          <w:lang w:eastAsia="zh-CN"/>
        </w:rPr>
        <w:t>）申诉注意事项</w:t>
      </w:r>
      <w:bookmarkEnd w:id="121"/>
    </w:p>
    <w:p>
      <w:pPr>
        <w:keepNext w:val="0"/>
        <w:keepLines w:val="0"/>
        <w:pageBreakBefore w:val="0"/>
        <w:widowControl w:val="0"/>
        <w:kinsoku/>
        <w:wordWrap/>
        <w:overflowPunct/>
        <w:topLinePunct w:val="0"/>
        <w:autoSpaceDE/>
        <w:autoSpaceDN/>
        <w:bidi w:val="0"/>
        <w:snapToGrid w:val="0"/>
        <w:spacing w:line="579" w:lineRule="exact"/>
        <w:ind w:left="0" w:firstLine="643" w:firstLineChars="200"/>
        <w:jc w:val="both"/>
        <w:textAlignment w:val="auto"/>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rPr>
          <w:rFonts w:hint="eastAsia" w:asci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keepNext w:val="0"/>
        <w:keepLines w:val="0"/>
        <w:pageBreakBefore w:val="0"/>
        <w:widowControl w:val="0"/>
        <w:kinsoku/>
        <w:wordWrap/>
        <w:overflowPunct/>
        <w:topLinePunct w:val="0"/>
        <w:autoSpaceDE/>
        <w:autoSpaceDN/>
        <w:bidi w:val="0"/>
        <w:adjustRightInd/>
        <w:snapToGrid w:val="0"/>
        <w:spacing w:line="579" w:lineRule="exact"/>
        <w:ind w:left="0" w:firstLine="640" w:firstLineChars="200"/>
        <w:jc w:val="both"/>
        <w:textAlignment w:val="auto"/>
        <w:outlineLvl w:val="0"/>
        <w:rPr>
          <w:rFonts w:hint="eastAsia" w:ascii="黑体" w:eastAsia="黑体" w:cs="黑体"/>
          <w:b w:val="0"/>
          <w:bCs w:val="0"/>
          <w:color w:val="auto"/>
          <w:sz w:val="32"/>
          <w:szCs w:val="32"/>
          <w:u w:val="none"/>
        </w:rPr>
      </w:pPr>
      <w:bookmarkStart w:id="122" w:name="_Toc36069250"/>
      <w:r>
        <w:rPr>
          <w:rFonts w:hint="eastAsia" w:ascii="黑体" w:eastAsia="黑体" w:cs="黑体"/>
          <w:b w:val="0"/>
          <w:bCs w:val="0"/>
          <w:color w:val="auto"/>
          <w:sz w:val="32"/>
          <w:szCs w:val="32"/>
          <w:u w:val="none"/>
          <w:lang w:val="en-US" w:eastAsia="zh-CN"/>
        </w:rPr>
        <w:t>十六、</w:t>
      </w:r>
      <w:r>
        <w:rPr>
          <w:rFonts w:hint="eastAsia" w:ascii="黑体" w:eastAsia="黑体" w:cs="黑体"/>
          <w:b w:val="0"/>
          <w:bCs w:val="0"/>
          <w:color w:val="auto"/>
          <w:sz w:val="32"/>
          <w:szCs w:val="32"/>
          <w:u w:val="none"/>
        </w:rPr>
        <w:t>疫情防控要求</w:t>
      </w:r>
      <w:bookmarkEnd w:id="122"/>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hint="eastAsia" w:ascii="仿宋_GB2312" w:eastAsia="仿宋_GB2312" w:cs="Arial"/>
          <w:color w:val="auto"/>
          <w:sz w:val="32"/>
          <w:szCs w:val="32"/>
          <w:highlight w:val="none"/>
          <w:lang w:eastAsia="zh-CN"/>
        </w:rPr>
      </w:pPr>
      <w:r>
        <w:rPr>
          <w:rFonts w:hint="eastAsia" w:ascii="仿宋_GB2312" w:eastAsia="仿宋_GB2312" w:cs="Arial"/>
          <w:color w:val="auto"/>
          <w:sz w:val="32"/>
          <w:szCs w:val="32"/>
          <w:highlight w:val="none"/>
        </w:rPr>
        <w:t>疫情防控要求贯穿本次招聘全程，将严格按照厦门市应对新冠肺炎疫情工作指挥部</w:t>
      </w:r>
      <w:r>
        <w:rPr>
          <w:rFonts w:hint="eastAsia" w:ascii="仿宋_GB2312" w:eastAsia="仿宋_GB2312" w:cs="Arial"/>
          <w:color w:val="auto"/>
          <w:sz w:val="32"/>
          <w:szCs w:val="32"/>
          <w:highlight w:val="none"/>
          <w:lang w:eastAsia="zh-CN"/>
        </w:rPr>
        <w:t>最新</w:t>
      </w:r>
      <w:r>
        <w:rPr>
          <w:rFonts w:hint="eastAsia" w:ascii="仿宋_GB2312" w:eastAsia="仿宋_GB2312" w:cs="Arial"/>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Arial"/>
          <w:color w:val="auto"/>
          <w:sz w:val="32"/>
          <w:szCs w:val="32"/>
          <w:highlight w:val="none"/>
          <w:lang w:eastAsia="zh-CN"/>
        </w:rPr>
        <w:t>本简章发布之日起至招聘结束，如境内新增中高风险地区，从境内中高风险地区、境外地区来厦的，按我市疫情防控规定执行。</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jc w:val="both"/>
        <w:textAlignment w:val="auto"/>
        <w:rPr>
          <w:rFonts w:ascii="仿宋_GB2312" w:eastAsia="仿宋_GB2312" w:cs="Arial"/>
          <w:color w:val="auto"/>
          <w:sz w:val="32"/>
          <w:szCs w:val="32"/>
          <w:highlight w:val="none"/>
        </w:rPr>
      </w:pPr>
      <w:r>
        <w:rPr>
          <w:rFonts w:hint="eastAsia" w:ascii="仿宋_GB2312" w:eastAsia="仿宋_GB2312" w:cs="Arial"/>
          <w:color w:val="auto"/>
          <w:sz w:val="32"/>
          <w:szCs w:val="32"/>
          <w:highlight w:val="none"/>
          <w:lang w:eastAsia="zh-CN"/>
        </w:rPr>
        <w:t>招聘疫情防控要求请及时关注“网上考务信息通知”相关通知。必要时或有疑问，</w:t>
      </w:r>
      <w:r>
        <w:rPr>
          <w:rFonts w:hint="eastAsia" w:ascii="仿宋_GB2312" w:eastAsia="仿宋_GB2312" w:cs="Arial"/>
          <w:color w:val="auto"/>
          <w:sz w:val="32"/>
          <w:szCs w:val="32"/>
          <w:highlight w:val="none"/>
        </w:rPr>
        <w:t>请拨打咨询专线0592-3279055获知相关政策信息</w:t>
      </w:r>
      <w:r>
        <w:rPr>
          <w:rFonts w:hint="eastAsia" w:ascii="仿宋_GB2312" w:eastAsia="仿宋_GB2312" w:cs="Arial"/>
          <w:color w:val="auto"/>
          <w:sz w:val="32"/>
          <w:szCs w:val="32"/>
          <w:highlight w:val="none"/>
          <w:lang w:eastAsia="zh-CN"/>
        </w:rPr>
        <w:t>。</w:t>
      </w:r>
      <w:r>
        <w:rPr>
          <w:rFonts w:hint="eastAsia" w:ascii="仿宋_GB2312" w:eastAsia="仿宋_GB2312" w:cs="Arial"/>
          <w:color w:val="auto"/>
          <w:sz w:val="32"/>
          <w:szCs w:val="32"/>
          <w:highlight w:val="none"/>
        </w:rPr>
        <w:t>瞒报、谎报、不履行相关承诺人员将承担法律责任。</w:t>
      </w:r>
    </w:p>
    <w:p>
      <w:pPr>
        <w:spacing w:line="540" w:lineRule="exact"/>
        <w:outlineLvl w:val="0"/>
        <w:rPr>
          <w:rFonts w:ascii="黑体" w:eastAsia="黑体" w:cs="Times New Roman"/>
          <w:color w:val="000000"/>
          <w:sz w:val="32"/>
          <w:szCs w:val="32"/>
        </w:rPr>
      </w:pPr>
      <w:r>
        <w:rPr>
          <w:rFonts w:ascii="仿宋_GB2312" w:eastAsia="仿宋_GB2312" w:cs="仿宋_GB2312"/>
          <w:b w:val="0"/>
          <w:bCs w:val="0"/>
          <w:color w:val="auto"/>
          <w:sz w:val="32"/>
          <w:szCs w:val="32"/>
          <w:u w:val="none"/>
        </w:rPr>
        <w:br w:type="page"/>
      </w:r>
      <w:bookmarkStart w:id="123" w:name="_Toc36069251"/>
      <w:r>
        <w:rPr>
          <w:rFonts w:hint="eastAsia" w:ascii="黑体" w:eastAsia="黑体" w:cs="黑体"/>
          <w:color w:val="000000"/>
          <w:sz w:val="32"/>
          <w:szCs w:val="32"/>
        </w:rPr>
        <w:t>附件</w:t>
      </w:r>
      <w:bookmarkEnd w:id="123"/>
    </w:p>
    <w:p>
      <w:pPr>
        <w:spacing w:line="540" w:lineRule="exact"/>
        <w:jc w:val="center"/>
        <w:rPr>
          <w:rFonts w:hint="eastAsia" w:ascii="方正小标宋简体" w:eastAsia="方正小标宋简体" w:cs="方正小标宋简体"/>
          <w:color w:val="000000"/>
          <w:sz w:val="44"/>
          <w:szCs w:val="44"/>
        </w:rPr>
      </w:pPr>
    </w:p>
    <w:p>
      <w:pPr>
        <w:spacing w:line="540" w:lineRule="exact"/>
        <w:jc w:val="center"/>
        <w:rPr>
          <w:rFonts w:ascii="方正小标宋简体" w:eastAsia="方正小标宋简体" w:cs="Times New Roman"/>
          <w:color w:val="000000"/>
          <w:sz w:val="44"/>
          <w:szCs w:val="44"/>
        </w:rPr>
      </w:pPr>
      <w:r>
        <w:rPr>
          <w:rFonts w:hint="eastAsia" w:ascii="方正小标宋简体" w:eastAsia="方正小标宋简体" w:cs="方正小标宋简体"/>
          <w:color w:val="000000"/>
          <w:sz w:val="44"/>
          <w:szCs w:val="44"/>
        </w:rPr>
        <w:t>离校未就业的高校毕业生报考承诺书</w:t>
      </w:r>
    </w:p>
    <w:p>
      <w:pPr>
        <w:spacing w:line="540" w:lineRule="exact"/>
        <w:rPr>
          <w:rFonts w:ascii="???????" w:hAnsi="???????" w:cs="???????"/>
          <w:b/>
          <w:bCs/>
          <w:color w:val="00000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600" w:lineRule="exact"/>
        <w:ind w:left="0" w:right="0" w:firstLine="640" w:firstLineChars="200"/>
        <w:jc w:val="left"/>
        <w:textAlignment w:val="auto"/>
        <w:outlineLvl w:val="9"/>
        <w:rPr>
          <w:rFonts w:ascii="仿宋_GB2312" w:eastAsia="仿宋_GB2312" w:cs="Times New Roman"/>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我已仔细阅读《厦门市湖里区所属卫生事业单位招聘编内工作人员</w:t>
      </w:r>
      <w:r>
        <w:rPr>
          <w:rFonts w:hint="eastAsia" w:ascii="仿宋_GB2312" w:eastAsia="仿宋_GB2312" w:cs="仿宋_GB2312"/>
          <w:color w:val="000000"/>
          <w:kern w:val="0"/>
          <w:sz w:val="32"/>
          <w:szCs w:val="32"/>
          <w:shd w:val="clear" w:color="auto" w:fill="FFFFFF"/>
          <w:lang w:val="en-US" w:eastAsia="zh-CN"/>
        </w:rPr>
        <w:t>简章</w:t>
      </w:r>
      <w:r>
        <w:rPr>
          <w:rFonts w:ascii="仿宋_GB2312" w:eastAsia="仿宋_GB2312" w:cs="仿宋_GB2312"/>
          <w:color w:val="000000"/>
          <w:kern w:val="0"/>
          <w:sz w:val="32"/>
          <w:szCs w:val="32"/>
          <w:shd w:val="clear" w:color="auto" w:fill="FFFFFF"/>
          <w:lang w:val="en-US" w:eastAsia="zh-CN"/>
        </w:rPr>
        <w:t>（2022年5月）</w:t>
      </w:r>
      <w:r>
        <w:rPr>
          <w:rFonts w:hint="eastAsia" w:ascii="仿宋_GB2312" w:eastAsia="仿宋_GB2312" w:cs="仿宋_GB2312"/>
          <w:color w:val="000000"/>
          <w:kern w:val="0"/>
          <w:sz w:val="32"/>
          <w:szCs w:val="32"/>
          <w:shd w:val="clear" w:color="auto" w:fill="FFFFFF"/>
        </w:rPr>
        <w:t>》，本人</w:t>
      </w:r>
      <w:r>
        <w:rPr>
          <w:rFonts w:hint="eastAsia" w:ascii="仿宋_GB2312" w:eastAsia="仿宋_GB2312" w:cs="仿宋_GB2312"/>
          <w:color w:val="000000"/>
          <w:kern w:val="0"/>
          <w:sz w:val="32"/>
          <w:szCs w:val="32"/>
          <w:shd w:val="clear" w:color="auto" w:fill="FFFFFF"/>
          <w:lang w:eastAsia="zh-CN"/>
        </w:rPr>
        <w:t>属于</w:t>
      </w:r>
      <w:r>
        <w:rPr>
          <w:rFonts w:hint="eastAsia" w:ascii="仿宋_GB2312" w:eastAsia="仿宋_GB2312" w:cs="仿宋_GB2312"/>
          <w:color w:val="000000"/>
          <w:kern w:val="0"/>
          <w:sz w:val="32"/>
          <w:szCs w:val="32"/>
          <w:shd w:val="clear" w:color="auto" w:fill="FFFFFF"/>
        </w:rPr>
        <w:t>以下第（</w:t>
      </w:r>
      <w:r>
        <w:rPr>
          <w:rFonts w:ascii="仿宋_GB2312" w:eastAsia="仿宋_GB2312" w:cs="仿宋_GB2312"/>
          <w:color w:val="000000"/>
          <w:kern w:val="0"/>
          <w:sz w:val="32"/>
          <w:szCs w:val="32"/>
          <w:shd w:val="clear" w:color="auto" w:fill="FFFFFF"/>
        </w:rPr>
        <w:t xml:space="preserve">   </w:t>
      </w:r>
      <w:r>
        <w:rPr>
          <w:rFonts w:hint="eastAsia" w:ascii="仿宋_GB2312" w:eastAsia="仿宋_GB2312" w:cs="仿宋_GB2312"/>
          <w:color w:val="000000"/>
          <w:kern w:val="0"/>
          <w:sz w:val="32"/>
          <w:szCs w:val="32"/>
          <w:shd w:val="clear" w:color="auto" w:fill="FFFFFF"/>
        </w:rPr>
        <w:t>）项</w:t>
      </w:r>
      <w:r>
        <w:rPr>
          <w:rFonts w:hint="eastAsia" w:ascii="仿宋_GB2312" w:eastAsia="仿宋_GB2312" w:cs="仿宋_GB2312"/>
          <w:color w:val="000000"/>
          <w:kern w:val="0"/>
          <w:sz w:val="32"/>
          <w:szCs w:val="32"/>
          <w:shd w:val="clear" w:color="auto" w:fill="FFFFFF"/>
          <w:lang w:eastAsia="zh-CN"/>
        </w:rPr>
        <w:t>对象，符合报考“</w:t>
      </w:r>
      <w:r>
        <w:rPr>
          <w:rFonts w:hint="eastAsia" w:ascii="仿宋_GB2312" w:eastAsia="仿宋_GB2312" w:cs="仿宋_GB2312"/>
          <w:color w:val="000000"/>
          <w:kern w:val="0"/>
          <w:sz w:val="32"/>
          <w:szCs w:val="32"/>
          <w:shd w:val="clear" w:color="auto" w:fill="FFFFFF"/>
          <w:lang w:val="en-US" w:eastAsia="zh-CN"/>
        </w:rPr>
        <w:t>面向应届毕业生</w:t>
      </w:r>
      <w:r>
        <w:rPr>
          <w:rFonts w:hint="eastAsia" w:ascii="仿宋_GB2312" w:eastAsia="仿宋_GB2312" w:cs="仿宋_GB2312"/>
          <w:color w:val="000000"/>
          <w:kern w:val="0"/>
          <w:sz w:val="32"/>
          <w:szCs w:val="32"/>
          <w:shd w:val="clear" w:color="auto" w:fill="FFFFFF"/>
          <w:lang w:eastAsia="zh-CN"/>
        </w:rPr>
        <w:t>”岗位条件</w:t>
      </w:r>
      <w:r>
        <w:rPr>
          <w:rFonts w:hint="eastAsia" w:ascii="仿宋_GB2312" w:eastAsia="仿宋_GB2312" w:cs="仿宋_GB2312"/>
          <w:color w:val="000000"/>
          <w:kern w:val="0"/>
          <w:sz w:val="32"/>
          <w:szCs w:val="32"/>
          <w:shd w:val="clear" w:color="auto" w:fill="FFFFFF"/>
        </w:rPr>
        <w:t>：</w:t>
      </w:r>
    </w:p>
    <w:p>
      <w:pPr>
        <w:numPr>
          <w:ilvl w:val="0"/>
          <w:numId w:val="1"/>
        </w:numPr>
        <w:spacing w:line="540" w:lineRule="exact"/>
        <w:ind w:left="0" w:firstLine="640" w:firstLineChars="200"/>
        <w:rPr>
          <w:rFonts w:hint="eastAsia" w:ascii="仿宋_GB2312" w:eastAsia="仿宋_GB2312" w:cs="仿宋_GB2312"/>
          <w:color w:val="000000"/>
          <w:sz w:val="32"/>
          <w:szCs w:val="32"/>
          <w:shd w:val="clear" w:color="auto" w:fill="FFFFFF"/>
        </w:rPr>
      </w:pPr>
      <w:r>
        <w:rPr>
          <w:rFonts w:hint="eastAsia" w:ascii="Times New Roman" w:hAnsi="Times New Roman" w:eastAsia="仿宋_GB2312" w:cs="仿宋_GB2312"/>
          <w:color w:val="000000"/>
          <w:kern w:val="0"/>
          <w:sz w:val="32"/>
          <w:szCs w:val="32"/>
          <w:u w:val="none"/>
          <w:shd w:val="clear" w:color="auto" w:fill="FFFFFF"/>
          <w:lang w:eastAsia="zh-CN"/>
        </w:rPr>
        <w:t>离校未就业</w:t>
      </w:r>
      <w:r>
        <w:rPr>
          <w:rFonts w:hint="eastAsia" w:ascii="仿宋_GB2312" w:eastAsia="仿宋_GB2312" w:cs="仿宋_GB2312"/>
          <w:color w:val="000000"/>
          <w:kern w:val="0"/>
          <w:sz w:val="32"/>
          <w:szCs w:val="32"/>
          <w:shd w:val="clear" w:color="auto" w:fill="FFFFFF"/>
        </w:rPr>
        <w:t>的</w:t>
      </w:r>
      <w:r>
        <w:rPr>
          <w:rFonts w:ascii="仿宋_GB2312" w:eastAsia="仿宋_GB2312" w:cs="仿宋_GB2312"/>
          <w:color w:val="000000"/>
          <w:kern w:val="0"/>
          <w:sz w:val="32"/>
          <w:szCs w:val="32"/>
          <w:shd w:val="clear" w:color="auto" w:fill="FFFFFF"/>
        </w:rPr>
        <w:t>2020</w:t>
      </w:r>
      <w:r>
        <w:rPr>
          <w:rFonts w:hint="eastAsia" w:ascii="仿宋_GB2312" w:eastAsia="仿宋_GB2312" w:cs="仿宋_GB2312"/>
          <w:color w:val="000000"/>
          <w:kern w:val="0"/>
          <w:sz w:val="32"/>
          <w:szCs w:val="32"/>
          <w:shd w:val="clear" w:color="auto" w:fill="FFFFFF"/>
        </w:rPr>
        <w:t>年、202</w:t>
      </w:r>
      <w:r>
        <w:rPr>
          <w:rFonts w:ascii="仿宋_GB2312" w:eastAsia="仿宋_GB2312" w:cs="仿宋_GB2312"/>
          <w:color w:val="000000"/>
          <w:kern w:val="0"/>
          <w:sz w:val="32"/>
          <w:szCs w:val="32"/>
          <w:shd w:val="clear" w:color="auto" w:fill="FFFFFF"/>
        </w:rPr>
        <w:t>1</w:t>
      </w:r>
      <w:r>
        <w:rPr>
          <w:rFonts w:hint="eastAsia" w:ascii="仿宋_GB2312" w:eastAsia="仿宋_GB2312" w:cs="仿宋_GB2312"/>
          <w:color w:val="000000"/>
          <w:kern w:val="0"/>
          <w:sz w:val="32"/>
          <w:szCs w:val="32"/>
          <w:shd w:val="clear" w:color="auto" w:fill="FFFFFF"/>
        </w:rPr>
        <w:t>年</w:t>
      </w:r>
      <w:r>
        <w:rPr>
          <w:rFonts w:hint="eastAsia" w:ascii="仿宋" w:eastAsia="仿宋" w:cs="仿宋"/>
          <w:color w:val="000000"/>
          <w:kern w:val="0"/>
          <w:sz w:val="32"/>
          <w:szCs w:val="32"/>
          <w:u w:val="none"/>
          <w:shd w:val="clear" w:color="auto" w:fill="FFFFFF"/>
        </w:rPr>
        <w:t>毕业并取得学历（学位）证书</w:t>
      </w:r>
      <w:r>
        <w:rPr>
          <w:rFonts w:hint="eastAsia" w:ascii="Times New Roman" w:hAnsi="Times New Roman" w:eastAsia="仿宋_GB2312" w:cs="仿宋_GB2312"/>
          <w:color w:val="000000"/>
          <w:kern w:val="0"/>
          <w:sz w:val="32"/>
          <w:szCs w:val="32"/>
          <w:u w:val="none"/>
          <w:shd w:val="clear" w:color="auto" w:fill="FFFFFF"/>
        </w:rPr>
        <w:t>的高校毕业生，</w:t>
      </w:r>
      <w:r>
        <w:rPr>
          <w:rFonts w:hint="eastAsia" w:ascii="仿宋_GB2312" w:eastAsia="仿宋_GB2312" w:cs="仿宋_GB2312"/>
          <w:color w:val="000000"/>
          <w:sz w:val="32"/>
          <w:szCs w:val="32"/>
          <w:u w:val="none"/>
          <w:shd w:val="clear" w:color="auto" w:fill="FFFFFF"/>
        </w:rPr>
        <w:t>档</w:t>
      </w:r>
      <w:r>
        <w:rPr>
          <w:rFonts w:hint="eastAsia" w:ascii="仿宋_GB2312" w:eastAsia="仿宋_GB2312" w:cs="仿宋_GB2312"/>
          <w:color w:val="000000"/>
          <w:sz w:val="32"/>
          <w:szCs w:val="32"/>
          <w:shd w:val="clear" w:color="auto" w:fill="FFFFFF"/>
        </w:rPr>
        <w:t>案</w:t>
      </w:r>
      <w:r>
        <w:rPr>
          <w:rFonts w:hint="eastAsia" w:ascii="仿宋_GB2312" w:eastAsia="仿宋_GB2312" w:cs="仿宋_GB2312"/>
          <w:color w:val="000000"/>
          <w:sz w:val="32"/>
          <w:szCs w:val="32"/>
          <w:shd w:val="clear" w:color="auto" w:fill="FFFFFF"/>
          <w:lang w:eastAsia="zh-CN"/>
        </w:rPr>
        <w:t>等</w:t>
      </w:r>
      <w:r>
        <w:rPr>
          <w:rFonts w:hint="eastAsia" w:ascii="仿宋_GB2312" w:eastAsia="仿宋_GB2312" w:cs="仿宋_GB2312"/>
          <w:color w:val="000000"/>
          <w:sz w:val="32"/>
          <w:szCs w:val="32"/>
          <w:shd w:val="clear" w:color="auto" w:fill="FFFFFF"/>
        </w:rPr>
        <w:t>关系仍保留在原毕业学校，或保留在各级毕业生就业主管部门</w:t>
      </w:r>
      <w:r>
        <w:rPr>
          <w:rFonts w:ascii="仿宋_GB2312" w:eastAsia="仿宋_GB2312" w:cs="仿宋_GB2312"/>
          <w:color w:val="000000"/>
          <w:sz w:val="32"/>
          <w:szCs w:val="32"/>
          <w:shd w:val="clear" w:color="auto" w:fill="FFFFFF"/>
        </w:rPr>
        <w:t>(</w:t>
      </w:r>
      <w:r>
        <w:rPr>
          <w:rFonts w:hint="eastAsia" w:ascii="仿宋_GB2312" w:eastAsia="仿宋_GB2312" w:cs="仿宋_GB2312"/>
          <w:color w:val="000000"/>
          <w:sz w:val="32"/>
          <w:szCs w:val="32"/>
          <w:shd w:val="clear" w:color="auto" w:fill="FFFFFF"/>
        </w:rPr>
        <w:t>毕业生就业指导服务中心</w:t>
      </w:r>
      <w:r>
        <w:rPr>
          <w:rFonts w:ascii="仿宋_GB2312" w:eastAsia="仿宋_GB2312" w:cs="仿宋_GB2312"/>
          <w:color w:val="000000"/>
          <w:sz w:val="32"/>
          <w:szCs w:val="32"/>
          <w:shd w:val="clear" w:color="auto" w:fill="FFFFFF"/>
        </w:rPr>
        <w:t>)</w:t>
      </w:r>
      <w:r>
        <w:rPr>
          <w:rFonts w:hint="eastAsia" w:ascii="仿宋_GB2312" w:eastAsia="仿宋_GB2312" w:cs="仿宋_GB2312"/>
          <w:color w:val="000000"/>
          <w:sz w:val="32"/>
          <w:szCs w:val="32"/>
          <w:shd w:val="clear" w:color="auto" w:fill="FFFFFF"/>
        </w:rPr>
        <w:t>、各级人才交流服务机构和各级公共就业服务机构。</w:t>
      </w:r>
    </w:p>
    <w:p>
      <w:pPr>
        <w:numPr>
          <w:ilvl w:val="0"/>
          <w:numId w:val="1"/>
        </w:numPr>
        <w:spacing w:line="540" w:lineRule="exact"/>
        <w:ind w:left="0"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shd w:val="clear" w:color="auto" w:fill="FFFFFF"/>
        </w:rPr>
        <w:t>在国（境）外教学科研机构学习，与</w:t>
      </w:r>
      <w:r>
        <w:rPr>
          <w:rFonts w:ascii="仿宋_GB2312" w:eastAsia="仿宋_GB2312" w:cs="仿宋_GB2312"/>
          <w:color w:val="000000"/>
          <w:sz w:val="32"/>
          <w:szCs w:val="32"/>
          <w:shd w:val="clear" w:color="auto" w:fill="FFFFFF"/>
        </w:rPr>
        <w:t>2020</w:t>
      </w:r>
      <w:r>
        <w:rPr>
          <w:rFonts w:hint="eastAsia" w:ascii="仿宋_GB2312" w:eastAsia="仿宋_GB2312" w:cs="仿宋_GB2312"/>
          <w:color w:val="000000"/>
          <w:sz w:val="32"/>
          <w:szCs w:val="32"/>
          <w:shd w:val="clear" w:color="auto" w:fill="FFFFFF"/>
          <w:lang w:eastAsia="zh-CN"/>
        </w:rPr>
        <w:t>年</w:t>
      </w:r>
      <w:r>
        <w:rPr>
          <w:rFonts w:hint="eastAsia" w:ascii="仿宋_GB2312" w:eastAsia="仿宋_GB2312" w:cs="仿宋_GB2312"/>
          <w:color w:val="000000"/>
          <w:sz w:val="32"/>
          <w:szCs w:val="32"/>
          <w:shd w:val="clear" w:color="auto" w:fill="FFFFFF"/>
        </w:rPr>
        <w:t>、</w:t>
      </w:r>
      <w:r>
        <w:rPr>
          <w:rFonts w:ascii="仿宋_GB2312" w:eastAsia="仿宋_GB2312" w:cs="仿宋_GB2312"/>
          <w:color w:val="000000"/>
          <w:sz w:val="32"/>
          <w:szCs w:val="32"/>
          <w:shd w:val="clear" w:color="auto" w:fill="FFFFFF"/>
        </w:rPr>
        <w:t>20</w:t>
      </w:r>
      <w:r>
        <w:rPr>
          <w:rFonts w:hint="eastAsia" w:ascii="仿宋_GB2312" w:eastAsia="仿宋_GB2312" w:cs="仿宋_GB2312"/>
          <w:color w:val="000000"/>
          <w:sz w:val="32"/>
          <w:szCs w:val="32"/>
          <w:shd w:val="clear" w:color="auto" w:fill="FFFFFF"/>
          <w:lang w:val="en-US" w:eastAsia="zh-CN"/>
        </w:rPr>
        <w:t>2</w:t>
      </w:r>
      <w:r>
        <w:rPr>
          <w:rFonts w:ascii="仿宋_GB2312" w:eastAsia="仿宋_GB2312" w:cs="仿宋_GB2312"/>
          <w:color w:val="000000"/>
          <w:sz w:val="32"/>
          <w:szCs w:val="32"/>
          <w:shd w:val="clear" w:color="auto" w:fill="FFFFFF"/>
          <w:lang w:val="en-US" w:eastAsia="zh-CN"/>
        </w:rPr>
        <w:t>1</w:t>
      </w:r>
      <w:r>
        <w:rPr>
          <w:rFonts w:hint="eastAsia" w:ascii="仿宋_GB2312" w:eastAsia="仿宋_GB2312" w:cs="仿宋_GB2312"/>
          <w:color w:val="000000"/>
          <w:sz w:val="32"/>
          <w:szCs w:val="32"/>
          <w:shd w:val="clear" w:color="auto" w:fill="FFFFFF"/>
          <w:lang w:eastAsia="zh-CN"/>
        </w:rPr>
        <w:t>年</w:t>
      </w:r>
      <w:r>
        <w:rPr>
          <w:rFonts w:hint="eastAsia" w:ascii="仿宋_GB2312" w:eastAsia="仿宋_GB2312" w:cs="仿宋_GB2312"/>
          <w:color w:val="000000"/>
          <w:sz w:val="32"/>
          <w:szCs w:val="32"/>
          <w:shd w:val="clear" w:color="auto" w:fill="FFFFFF"/>
        </w:rPr>
        <w:t>国（境）内普通高校毕业生同期毕业，</w:t>
      </w:r>
      <w:r>
        <w:rPr>
          <w:rFonts w:hint="eastAsia" w:ascii="仿宋_GB2312" w:eastAsia="仿宋_GB2312" w:cs="仿宋_GB2312"/>
          <w:color w:val="000000"/>
          <w:sz w:val="32"/>
          <w:szCs w:val="32"/>
          <w:shd w:val="clear" w:color="auto" w:fill="FFFFFF"/>
          <w:lang w:eastAsia="zh-CN"/>
        </w:rPr>
        <w:t>离校未就业</w:t>
      </w:r>
      <w:r>
        <w:rPr>
          <w:rFonts w:hint="eastAsia" w:ascii="仿宋_GB2312" w:eastAsia="仿宋_GB2312" w:cs="仿宋_GB2312"/>
          <w:color w:val="000000"/>
          <w:sz w:val="32"/>
          <w:szCs w:val="32"/>
          <w:shd w:val="clear" w:color="auto" w:fill="FFFFFF"/>
        </w:rPr>
        <w:t>的</w:t>
      </w:r>
      <w:r>
        <w:rPr>
          <w:rFonts w:hint="eastAsia" w:ascii="仿宋_GB2312" w:eastAsia="仿宋_GB2312" w:cs="仿宋_GB2312"/>
          <w:color w:val="000000"/>
          <w:kern w:val="0"/>
          <w:sz w:val="32"/>
          <w:szCs w:val="32"/>
        </w:rPr>
        <w:t>留学毕业生</w:t>
      </w:r>
      <w:r>
        <w:rPr>
          <w:rFonts w:hint="eastAsia" w:ascii="仿宋_GB2312" w:eastAsia="仿宋_GB2312" w:cs="仿宋_GB2312"/>
          <w:color w:val="000000"/>
          <w:sz w:val="32"/>
          <w:szCs w:val="32"/>
          <w:shd w:val="clear" w:color="auto" w:fill="FFFFFF"/>
        </w:rPr>
        <w:t>。</w:t>
      </w:r>
    </w:p>
    <w:p>
      <w:pPr>
        <w:spacing w:line="54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本人郑重承诺：提供的个人信息、证件材料等均真实、准确，并学习了解《事业单位公开招聘违纪违规行为处理规定》（人社部令第</w:t>
      </w:r>
      <w:r>
        <w:rPr>
          <w:rFonts w:ascii="仿宋_GB2312" w:eastAsia="仿宋_GB2312" w:cs="仿宋_GB2312"/>
          <w:color w:val="000000"/>
          <w:sz w:val="32"/>
          <w:szCs w:val="32"/>
        </w:rPr>
        <w:t>35</w:t>
      </w:r>
      <w:r>
        <w:rPr>
          <w:rFonts w:hint="eastAsia" w:ascii="仿宋_GB2312" w:eastAsia="仿宋_GB2312" w:cs="仿宋_GB2312"/>
          <w:color w:val="000000"/>
          <w:sz w:val="32"/>
          <w:szCs w:val="32"/>
        </w:rPr>
        <w:t>号），对因提供有关信息证件不真实或违反有关纪律规定所造成的后果，本人自愿承担包括取消聘用资格、纳入诚信记录等在内的相应责任。</w:t>
      </w:r>
    </w:p>
    <w:p>
      <w:pPr>
        <w:spacing w:line="540" w:lineRule="exact"/>
        <w:rPr>
          <w:rFonts w:ascii="仿宋_GB2312" w:eastAsia="仿宋_GB2312" w:cs="Times New Roman"/>
          <w:color w:val="000000"/>
          <w:sz w:val="32"/>
          <w:szCs w:val="32"/>
        </w:rPr>
      </w:pPr>
    </w:p>
    <w:p>
      <w:pPr>
        <w:spacing w:line="54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本人签名：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lang w:val="en-US" w:eastAsia="zh-CN"/>
        </w:rPr>
        <w:t xml:space="preserve">    </w:t>
      </w:r>
      <w:r>
        <w:rPr>
          <w:rFonts w:ascii="仿宋_GB2312" w:eastAsia="仿宋_GB2312" w:cs="仿宋_GB2312"/>
          <w:color w:val="000000"/>
          <w:sz w:val="32"/>
          <w:szCs w:val="32"/>
        </w:rPr>
        <w:t xml:space="preserve"> </w:t>
      </w:r>
    </w:p>
    <w:p>
      <w:pPr>
        <w:spacing w:line="540" w:lineRule="exact"/>
        <w:ind w:firstLine="640" w:firstLineChars="200"/>
        <w:jc w:val="left"/>
        <w:rPr>
          <w:rFonts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身份证号码：</w:t>
      </w:r>
    </w:p>
    <w:p>
      <w:pPr>
        <w:spacing w:line="540" w:lineRule="exact"/>
        <w:ind w:firstLine="640" w:firstLineChars="200"/>
        <w:jc w:val="left"/>
        <w:rPr>
          <w:rFonts w:hint="eastAsia" w:ascii="仿宋_GB2312" w:eastAsia="仿宋_GB2312"/>
          <w:color w:val="000000"/>
          <w:kern w:val="0"/>
          <w:sz w:val="32"/>
          <w:szCs w:val="32"/>
        </w:rPr>
      </w:pPr>
      <w:r>
        <w:rPr>
          <w:rFonts w:hint="eastAsia" w:ascii="仿宋_GB2312" w:eastAsia="仿宋_GB2312" w:cs="仿宋_GB2312"/>
          <w:color w:val="000000"/>
          <w:sz w:val="32"/>
          <w:szCs w:val="32"/>
        </w:rPr>
        <w:t>填写日期：</w:t>
      </w:r>
      <w:r>
        <w:rPr>
          <w:rFonts w:ascii="仿宋_GB2312" w:eastAsia="仿宋_GB2312" w:cs="仿宋_GB2312"/>
          <w:color w:val="000000"/>
          <w:sz w:val="32"/>
          <w:szCs w:val="32"/>
        </w:rPr>
        <w:t xml:space="preserve">                               </w:t>
      </w:r>
    </w:p>
    <w:sectPr>
      <w:pgSz w:w="11906" w:h="16838"/>
      <w:pgMar w:top="2098" w:right="1474" w:bottom="1984" w:left="1587" w:header="851" w:footer="992" w:gutter="0"/>
      <w:pgNumType w:start="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381000" cy="197485"/>
              <wp:effectExtent l="0" t="0" r="0" b="0"/>
              <wp:wrapNone/>
              <wp:docPr id="1" name="Text Box 1"/>
              <wp:cNvGraphicFramePr/>
              <a:graphic xmlns:a="http://schemas.openxmlformats.org/drawingml/2006/main">
                <a:graphicData uri="http://schemas.microsoft.com/office/word/2010/wordprocessingShape">
                  <wps:wsp>
                    <wps:cNvSpPr/>
                    <wps:spPr>
                      <a:xfrm>
                        <a:off x="0" y="0"/>
                        <a:ext cx="381000" cy="197358"/>
                      </a:xfrm>
                      <a:prstGeom prst="rect">
                        <a:avLst/>
                      </a:prstGeom>
                      <a:noFill/>
                      <a:ln w="9525" cap="flat" cmpd="sng">
                        <a:noFill/>
                        <a:prstDash val="solid"/>
                        <a:miter/>
                      </a:ln>
                    </wps:spPr>
                    <wps:txbx>
                      <w:txbxContent>
                        <w:p>
                          <w:pPr>
                            <w:pStyle w:val="8"/>
                            <w:rPr>
                              <w:rFonts w:hint="eastAsia" w:ascii="仿宋" w:eastAsia="仿宋" w:cs="仿宋"/>
                              <w:sz w:val="24"/>
                              <w:szCs w:val="24"/>
                              <w:lang w:val="en-US" w:eastAsia="zh-CN"/>
                            </w:rPr>
                          </w:pPr>
                          <w:r>
                            <w:rPr>
                              <w:rFonts w:hint="eastAsia" w:ascii="仿宋" w:eastAsia="仿宋" w:cs="仿宋"/>
                              <w:sz w:val="24"/>
                              <w:szCs w:val="24"/>
                              <w:lang w:eastAsia="zh-CN"/>
                            </w:rPr>
                            <w:t>—</w:t>
                          </w:r>
                          <w:r>
                            <w:rPr>
                              <w:rFonts w:hint="eastAsia" w:ascii="仿宋" w:eastAsia="仿宋" w:cs="仿宋"/>
                              <w:sz w:val="24"/>
                              <w:szCs w:val="24"/>
                            </w:rPr>
                            <w:fldChar w:fldCharType="begin"/>
                          </w:r>
                          <w:r>
                            <w:rPr>
                              <w:rFonts w:hint="eastAsia" w:ascii="仿宋" w:eastAsia="仿宋" w:cs="仿宋"/>
                              <w:sz w:val="24"/>
                              <w:szCs w:val="24"/>
                            </w:rPr>
                            <w:instrText xml:space="preserve"> PAGE  \* MERGEFORMAT </w:instrText>
                          </w:r>
                          <w:r>
                            <w:rPr>
                              <w:rFonts w:hint="eastAsia" w:ascii="仿宋" w:eastAsia="仿宋" w:cs="仿宋"/>
                              <w:sz w:val="24"/>
                              <w:szCs w:val="24"/>
                            </w:rPr>
                            <w:fldChar w:fldCharType="separate"/>
                          </w:r>
                          <w:r>
                            <w:rPr>
                              <w:rFonts w:hint="eastAsia" w:ascii="仿宋" w:eastAsia="仿宋" w:cs="仿宋"/>
                              <w:sz w:val="24"/>
                              <w:szCs w:val="24"/>
                            </w:rPr>
                            <w:t>1</w:t>
                          </w:r>
                          <w:r>
                            <w:rPr>
                              <w:rFonts w:hint="eastAsia" w:ascii="仿宋" w:eastAsia="仿宋" w:cs="仿宋"/>
                              <w:sz w:val="24"/>
                              <w:szCs w:val="24"/>
                            </w:rPr>
                            <w:fldChar w:fldCharType="end"/>
                          </w:r>
                          <w:r>
                            <w:rPr>
                              <w:rFonts w:hint="eastAsia" w:ascii="仿宋" w:eastAsia="仿宋" w:cs="仿宋"/>
                              <w:sz w:val="24"/>
                              <w:szCs w:val="24"/>
                              <w:lang w:eastAsia="zh-CN"/>
                            </w:rPr>
                            <w:t>—</w:t>
                          </w:r>
                        </w:p>
                      </w:txbxContent>
                    </wps:txbx>
                    <wps:bodyPr vert="horz" wrap="none" lIns="0" tIns="0" rIns="0" bIns="0" anchor="t" anchorCtr="0" upright="1">
                      <a:spAutoFit/>
                    </wps:bodyPr>
                  </wps:wsp>
                </a:graphicData>
              </a:graphic>
            </wp:anchor>
          </w:drawing>
        </mc:Choice>
        <mc:Fallback>
          <w:pict>
            <v:rect id="Text Box 1" o:spid="_x0000_s1026" o:spt="1" style="position:absolute;left:0pt;margin-top:0pt;height:15.55pt;width:30pt;mso-position-horizontal:center;mso-position-horizontal-relative:margin;mso-wrap-style:none;z-index:1024;mso-width-relative:page;mso-height-relative:page;" filled="f" stroked="f" coordsize="21600,21600" o:gfxdata="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v29jTRAAAAAwEAAA8AAAAAAAAAAQAgAAAA&#10;IgAAAGRycy9kb3ducmV2LnhtbFBLAQIUABQAAAAIAIdO4kCwyWC22QEAAKUDAAAOAAAAAAAAAAEA&#10;IAAAACABAABkcnMvZTJvRG9jLnhtbFBLBQYAAAAABgAGAFkBAABrBQAAAAA=&#10;">
              <v:fill on="f" focussize="0,0"/>
              <v:stroke on="f" joinstyle="miter"/>
              <v:imagedata o:title=""/>
              <o:lock v:ext="edit" aspectratio="f"/>
              <v:textbox inset="0mm,0mm,0mm,0mm" style="mso-fit-shape-to-text:t;">
                <w:txbxContent>
                  <w:p>
                    <w:pPr>
                      <w:pStyle w:val="8"/>
                      <w:rPr>
                        <w:rFonts w:hint="eastAsia" w:ascii="仿宋" w:eastAsia="仿宋" w:cs="仿宋"/>
                        <w:sz w:val="24"/>
                        <w:szCs w:val="24"/>
                        <w:lang w:val="en-US" w:eastAsia="zh-CN"/>
                      </w:rPr>
                    </w:pPr>
                    <w:r>
                      <w:rPr>
                        <w:rFonts w:hint="eastAsia" w:ascii="仿宋" w:eastAsia="仿宋" w:cs="仿宋"/>
                        <w:sz w:val="24"/>
                        <w:szCs w:val="24"/>
                        <w:lang w:eastAsia="zh-CN"/>
                      </w:rPr>
                      <w:t>—</w:t>
                    </w:r>
                    <w:r>
                      <w:rPr>
                        <w:rFonts w:hint="eastAsia" w:ascii="仿宋" w:eastAsia="仿宋" w:cs="仿宋"/>
                        <w:sz w:val="24"/>
                        <w:szCs w:val="24"/>
                      </w:rPr>
                      <w:fldChar w:fldCharType="begin"/>
                    </w:r>
                    <w:r>
                      <w:rPr>
                        <w:rFonts w:hint="eastAsia" w:ascii="仿宋" w:eastAsia="仿宋" w:cs="仿宋"/>
                        <w:sz w:val="24"/>
                        <w:szCs w:val="24"/>
                      </w:rPr>
                      <w:instrText xml:space="preserve"> PAGE  \* MERGEFORMAT </w:instrText>
                    </w:r>
                    <w:r>
                      <w:rPr>
                        <w:rFonts w:hint="eastAsia" w:ascii="仿宋" w:eastAsia="仿宋" w:cs="仿宋"/>
                        <w:sz w:val="24"/>
                        <w:szCs w:val="24"/>
                      </w:rPr>
                      <w:fldChar w:fldCharType="separate"/>
                    </w:r>
                    <w:r>
                      <w:rPr>
                        <w:rFonts w:hint="eastAsia" w:ascii="仿宋" w:eastAsia="仿宋" w:cs="仿宋"/>
                        <w:sz w:val="24"/>
                        <w:szCs w:val="24"/>
                      </w:rPr>
                      <w:t>1</w:t>
                    </w:r>
                    <w:r>
                      <w:rPr>
                        <w:rFonts w:hint="eastAsia" w:ascii="仿宋" w:eastAsia="仿宋" w:cs="仿宋"/>
                        <w:sz w:val="24"/>
                        <w:szCs w:val="24"/>
                      </w:rPr>
                      <w:fldChar w:fldCharType="end"/>
                    </w:r>
                    <w:r>
                      <w:rPr>
                        <w:rFonts w:hint="eastAsia" w:ascii="仿宋" w:eastAsia="仿宋" w:cs="仿宋"/>
                        <w:sz w:val="24"/>
                        <w:szCs w:val="24"/>
                        <w:lang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586DE"/>
    <w:multiLevelType w:val="singleLevel"/>
    <w:tmpl w:val="9D1586DE"/>
    <w:lvl w:ilvl="0" w:tentative="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62C46546"/>
    <w:rsid w:val="73EE5174"/>
    <w:rsid w:val="764D58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unhideWhenUsed="0" w:uiPriority="4294967295" w:semiHidden="0" w:name="heading 4" w:locked="1"/>
    <w:lsdException w:unhideWhenUsed="0" w:uiPriority="4294967295" w:semiHidden="0" w:name="heading 5" w:locked="1"/>
    <w:lsdException w:unhideWhenUsed="0" w:uiPriority="4294967295" w:semiHidden="0" w:name="heading 6" w:locked="1"/>
    <w:lsdException w:unhideWhenUsed="0" w:uiPriority="4294967295" w:semiHidden="0" w:name="heading 7" w:locked="1"/>
    <w:lsdException w:unhideWhenUsed="0" w:uiPriority="4294967295" w:semiHidden="0" w:name="heading 8" w:locked="1"/>
    <w:lsdException w:unhideWhenUsed="0" w:uiPriority="4294967295" w:semiHidden="0" w:name="heading 9" w:locked="1"/>
    <w:lsdException w:unhideWhenUsed="0" w:uiPriority="4294967295" w:semiHidden="0" w:name="index 1"/>
    <w:lsdException w:unhideWhenUsed="0" w:uiPriority="4294967295" w:semiHidden="0" w:name="index 2"/>
    <w:lsdException w:unhideWhenUsed="0" w:uiPriority="4294967295" w:semiHidden="0" w:name="index 3"/>
    <w:lsdException w:unhideWhenUsed="0" w:uiPriority="4294967295" w:semiHidden="0" w:name="index 4"/>
    <w:lsdException w:unhideWhenUsed="0" w:uiPriority="4294967295" w:semiHidden="0" w:name="index 5"/>
    <w:lsdException w:unhideWhenUsed="0" w:uiPriority="4294967295" w:semiHidden="0" w:name="index 6"/>
    <w:lsdException w:unhideWhenUsed="0" w:uiPriority="4294967295" w:semiHidden="0" w:name="index 7"/>
    <w:lsdException w:unhideWhenUsed="0" w:uiPriority="4294967295" w:semiHidden="0" w:name="index 8"/>
    <w:lsdException w:unhideWhenUsed="0" w:uiPriority="4294967295" w:semiHidden="0" w:name="index 9"/>
    <w:lsdException w:qFormat="1" w:unhideWhenUsed="0" w:uiPriority="0" w:semiHidden="0" w:name="toc 1"/>
    <w:lsdException w:qFormat="1" w:unhideWhenUsed="0" w:uiPriority="0" w:semiHidden="0" w:name="toc 2"/>
    <w:lsdException w:unhideWhenUsed="0" w:uiPriority="0" w:semiHidden="0" w:name="toc 3" w:locked="1"/>
    <w:lsdException w:unhideWhenUsed="0" w:uiPriority="4294967295" w:semiHidden="0" w:name="toc 4" w:locked="1"/>
    <w:lsdException w:unhideWhenUsed="0" w:uiPriority="4294967295" w:semiHidden="0" w:name="toc 5" w:locked="1"/>
    <w:lsdException w:unhideWhenUsed="0" w:uiPriority="4294967295" w:semiHidden="0" w:name="toc 6" w:locked="1"/>
    <w:lsdException w:unhideWhenUsed="0" w:uiPriority="4294967295" w:semiHidden="0" w:name="toc 7" w:locked="1"/>
    <w:lsdException w:unhideWhenUsed="0" w:uiPriority="4294967295" w:semiHidden="0" w:name="toc 8" w:locked="1"/>
    <w:lsdException w:unhideWhenUsed="0" w:uiPriority="4294967295" w:semiHidden="0" w:name="toc 9" w:locked="1"/>
    <w:lsdException w:unhideWhenUsed="0" w:uiPriority="4294967295" w:semiHidden="0" w:name="Normal Indent"/>
    <w:lsdException w:unhideWhenUsed="0" w:uiPriority="4294967295"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4294967295" w:semiHidden="0" w:name="index heading"/>
    <w:lsdException w:unhideWhenUsed="0" w:uiPriority="4294967295" w:semiHidden="0" w:name="caption" w:locked="1"/>
    <w:lsdException w:unhideWhenUsed="0" w:uiPriority="4294967295" w:semiHidden="0" w:name="table of figures"/>
    <w:lsdException w:unhideWhenUsed="0" w:uiPriority="4294967295" w:semiHidden="0" w:name="envelope address"/>
    <w:lsdException w:unhideWhenUsed="0" w:uiPriority="4294967295" w:semiHidden="0" w:name="envelope return"/>
    <w:lsdException w:unhideWhenUsed="0" w:uiPriority="4294967295" w:semiHidden="0" w:name="footnote reference"/>
    <w:lsdException w:qFormat="1" w:unhideWhenUsed="0" w:uiPriority="0" w:semiHidden="0" w:name="annotation reference"/>
    <w:lsdException w:unhideWhenUsed="0" w:uiPriority="4294967295" w:semiHidden="0" w:name="line number"/>
    <w:lsdException w:unhideWhenUsed="0" w:uiPriority="4294967295" w:semiHidden="0" w:name="page number"/>
    <w:lsdException w:unhideWhenUsed="0" w:uiPriority="4294967295" w:semiHidden="0" w:name="endnote reference"/>
    <w:lsdException w:unhideWhenUsed="0" w:uiPriority="4294967295" w:semiHidden="0" w:name="endnote text"/>
    <w:lsdException w:unhideWhenUsed="0" w:uiPriority="4294967295" w:semiHidden="0" w:name="table of authorities"/>
    <w:lsdException w:unhideWhenUsed="0" w:uiPriority="4294967295" w:semiHidden="0" w:name="macro"/>
    <w:lsdException w:unhideWhenUsed="0" w:uiPriority="4294967295" w:semiHidden="0" w:name="toa heading"/>
    <w:lsdException w:unhideWhenUsed="0" w:uiPriority="4294967295" w:semiHidden="0" w:name="List"/>
    <w:lsdException w:unhideWhenUsed="0" w:uiPriority="4294967295" w:semiHidden="0" w:name="List Bullet"/>
    <w:lsdException w:unhideWhenUsed="0" w:uiPriority="4294967295" w:semiHidden="0" w:name="List Number"/>
    <w:lsdException w:unhideWhenUsed="0" w:uiPriority="4294967295" w:semiHidden="0" w:name="List 2"/>
    <w:lsdException w:unhideWhenUsed="0" w:uiPriority="4294967295" w:semiHidden="0" w:name="List 3"/>
    <w:lsdException w:unhideWhenUsed="0" w:uiPriority="4294967295" w:semiHidden="0" w:name="List 4"/>
    <w:lsdException w:unhideWhenUsed="0" w:uiPriority="4294967295" w:semiHidden="0" w:name="List 5"/>
    <w:lsdException w:unhideWhenUsed="0" w:uiPriority="4294967295" w:semiHidden="0" w:name="List Bullet 2"/>
    <w:lsdException w:unhideWhenUsed="0" w:uiPriority="4294967295" w:semiHidden="0" w:name="List Bullet 3"/>
    <w:lsdException w:unhideWhenUsed="0" w:uiPriority="4294967295" w:semiHidden="0" w:name="List Bullet 4"/>
    <w:lsdException w:unhideWhenUsed="0" w:uiPriority="4294967295" w:semiHidden="0" w:name="List Bullet 5"/>
    <w:lsdException w:unhideWhenUsed="0" w:uiPriority="4294967295" w:semiHidden="0" w:name="List Number 2"/>
    <w:lsdException w:unhideWhenUsed="0" w:uiPriority="4294967295" w:semiHidden="0" w:name="List Number 3"/>
    <w:lsdException w:unhideWhenUsed="0" w:uiPriority="4294967295" w:semiHidden="0" w:name="List Number 4"/>
    <w:lsdException w:unhideWhenUsed="0" w:uiPriority="4294967295" w:semiHidden="0" w:name="List Number 5"/>
    <w:lsdException w:unhideWhenUsed="0" w:uiPriority="4294967295" w:semiHidden="0" w:name="Title" w:locked="1"/>
    <w:lsdException w:unhideWhenUsed="0" w:uiPriority="4294967295" w:semiHidden="0" w:name="Closing"/>
    <w:lsdException w:unhideWhenUsed="0" w:uiPriority="4294967295" w:semiHidden="0" w:name="Signature"/>
    <w:lsdException w:qFormat="1" w:unhideWhenUsed="0" w:uiPriority="0" w:semiHidden="0" w:name="Default Paragraph Font"/>
    <w:lsdException w:unhideWhenUsed="0" w:uiPriority="4294967295" w:semiHidden="0" w:name="Body Text"/>
    <w:lsdException w:unhideWhenUsed="0" w:uiPriority="4294967295" w:semiHidden="0" w:name="Body Text Indent"/>
    <w:lsdException w:unhideWhenUsed="0" w:uiPriority="4294967295" w:semiHidden="0" w:name="List Continue"/>
    <w:lsdException w:unhideWhenUsed="0" w:uiPriority="4294967295" w:semiHidden="0" w:name="List Continue 2"/>
    <w:lsdException w:unhideWhenUsed="0" w:uiPriority="4294967295" w:semiHidden="0" w:name="List Continue 3"/>
    <w:lsdException w:unhideWhenUsed="0" w:uiPriority="4294967295" w:semiHidden="0" w:name="List Continue 4"/>
    <w:lsdException w:unhideWhenUsed="0" w:uiPriority="4294967295" w:semiHidden="0" w:name="List Continue 5"/>
    <w:lsdException w:unhideWhenUsed="0" w:uiPriority="4294967295" w:semiHidden="0" w:name="Message Header"/>
    <w:lsdException w:unhideWhenUsed="0" w:uiPriority="4294967295" w:semiHidden="0" w:name="Subtitle" w:locked="1"/>
    <w:lsdException w:unhideWhenUsed="0" w:uiPriority="4294967295" w:semiHidden="0" w:name="Salutation"/>
    <w:lsdException w:unhideWhenUsed="0" w:uiPriority="4294967295" w:semiHidden="0" w:name="Date"/>
    <w:lsdException w:unhideWhenUsed="0" w:uiPriority="4294967295" w:semiHidden="0" w:name="Body Text First Indent"/>
    <w:lsdException w:unhideWhenUsed="0" w:uiPriority="4294967295" w:semiHidden="0" w:name="Body Text First Indent 2"/>
    <w:lsdException w:unhideWhenUsed="0" w:uiPriority="4294967295" w:semiHidden="0" w:name="Note Heading"/>
    <w:lsdException w:unhideWhenUsed="0" w:uiPriority="4294967295" w:semiHidden="0" w:name="Body Text 2"/>
    <w:lsdException w:unhideWhenUsed="0" w:uiPriority="4294967295" w:semiHidden="0" w:name="Body Text 3"/>
    <w:lsdException w:unhideWhenUsed="0" w:uiPriority="4294967295" w:semiHidden="0" w:name="Body Text Indent 2"/>
    <w:lsdException w:unhideWhenUsed="0" w:uiPriority="4294967295" w:semiHidden="0" w:name="Body Text Indent 3"/>
    <w:lsdException w:unhideWhenUsed="0" w:uiPriority="4294967295" w:semiHidden="0" w:name="Block Text"/>
    <w:lsdException w:qFormat="1" w:unhideWhenUsed="0" w:uiPriority="0" w:semiHidden="0" w:name="Hyperlink"/>
    <w:lsdException w:unhideWhenUsed="0" w:uiPriority="0" w:semiHidden="0" w:name="FollowedHyperlink"/>
    <w:lsdException w:unhideWhenUsed="0" w:uiPriority="4294967295" w:semiHidden="0" w:name="Strong" w:locked="1"/>
    <w:lsdException w:unhideWhenUsed="0" w:uiPriority="4294967295" w:semiHidden="0" w:name="Emphasis" w:locked="1"/>
    <w:lsdException w:unhideWhenUsed="0" w:uiPriority="4294967295" w:semiHidden="0" w:name="Document Map"/>
    <w:lsdException w:unhideWhenUsed="0" w:uiPriority="4294967295" w:semiHidden="0" w:name="Plain Text"/>
    <w:lsdException w:unhideWhenUsed="0" w:uiPriority="4294967295" w:semiHidden="0" w:name="E-mail Signature"/>
    <w:lsdException w:unhideWhenUsed="0" w:uiPriority="4294967295" w:semiHidden="0" w:name="Normal (Web)"/>
    <w:lsdException w:unhideWhenUsed="0" w:uiPriority="4294967295" w:semiHidden="0" w:name="HTML Acronym"/>
    <w:lsdException w:unhideWhenUsed="0" w:uiPriority="4294967295" w:semiHidden="0" w:name="HTML Address"/>
    <w:lsdException w:unhideWhenUsed="0" w:uiPriority="4294967295" w:semiHidden="0" w:name="HTML Cite"/>
    <w:lsdException w:unhideWhenUsed="0" w:uiPriority="4294967295" w:semiHidden="0" w:name="HTML Code"/>
    <w:lsdException w:unhideWhenUsed="0" w:uiPriority="4294967295" w:semiHidden="0" w:name="HTML Definition"/>
    <w:lsdException w:unhideWhenUsed="0" w:uiPriority="4294967295" w:semiHidden="0" w:name="HTML Keyboard"/>
    <w:lsdException w:unhideWhenUsed="0" w:uiPriority="4294967295" w:semiHidden="0" w:name="HTML Preformatted"/>
    <w:lsdException w:unhideWhenUsed="0" w:uiPriority="4294967295" w:semiHidden="0" w:name="HTML Sample"/>
    <w:lsdException w:unhideWhenUsed="0" w:uiPriority="4294967295" w:semiHidden="0" w:name="HTML Typewriter"/>
    <w:lsdException w:unhideWhenUsed="0" w:uiPriority="4294967295" w:semiHidden="0" w:name="HTML Variable"/>
    <w:lsdException w:unhideWhenUsed="0" w:uiPriority="4294967295" w:semiHidden="0" w:name="Normal Table"/>
    <w:lsdException w:unhideWhenUsed="0" w:uiPriority="4294967295" w:semiHidden="0" w:name="annotation subject"/>
    <w:lsdException w:unhideWhenUsed="0" w:uiPriority="4294967295" w:semiHidden="0" w:name="Table Simple 1"/>
    <w:lsdException w:unhideWhenUsed="0" w:uiPriority="4294967295" w:semiHidden="0" w:name="Table Simple 2"/>
    <w:lsdException w:unhideWhenUsed="0" w:uiPriority="4294967295" w:semiHidden="0" w:name="Table Simple 3"/>
    <w:lsdException w:unhideWhenUsed="0" w:uiPriority="4294967295" w:semiHidden="0" w:name="Table Classic 1"/>
    <w:lsdException w:unhideWhenUsed="0" w:uiPriority="4294967295" w:semiHidden="0" w:name="Table Classic 2"/>
    <w:lsdException w:unhideWhenUsed="0" w:uiPriority="4294967295" w:semiHidden="0" w:name="Table Classic 3"/>
    <w:lsdException w:unhideWhenUsed="0" w:uiPriority="4294967295" w:semiHidden="0" w:name="Table Classic 4"/>
    <w:lsdException w:unhideWhenUsed="0" w:uiPriority="4294967295" w:semiHidden="0" w:name="Table Colorful 1"/>
    <w:lsdException w:unhideWhenUsed="0" w:uiPriority="4294967295" w:semiHidden="0" w:name="Table Colorful 2"/>
    <w:lsdException w:unhideWhenUsed="0" w:uiPriority="4294967295" w:semiHidden="0" w:name="Table Colorful 3"/>
    <w:lsdException w:unhideWhenUsed="0" w:uiPriority="4294967295" w:semiHidden="0" w:name="Table Columns 1"/>
    <w:lsdException w:unhideWhenUsed="0" w:uiPriority="4294967295" w:semiHidden="0" w:name="Table Columns 2"/>
    <w:lsdException w:unhideWhenUsed="0" w:uiPriority="4294967295" w:semiHidden="0" w:name="Table Columns 3"/>
    <w:lsdException w:unhideWhenUsed="0" w:uiPriority="4294967295" w:semiHidden="0" w:name="Table Columns 4"/>
    <w:lsdException w:unhideWhenUsed="0" w:uiPriority="4294967295" w:semiHidden="0" w:name="Table Columns 5"/>
    <w:lsdException w:unhideWhenUsed="0" w:uiPriority="4294967295" w:semiHidden="0" w:name="Table Grid 1"/>
    <w:lsdException w:unhideWhenUsed="0" w:uiPriority="4294967295" w:semiHidden="0" w:name="Table Grid 2"/>
    <w:lsdException w:unhideWhenUsed="0" w:uiPriority="4294967295" w:semiHidden="0" w:name="Table Grid 3"/>
    <w:lsdException w:unhideWhenUsed="0" w:uiPriority="4294967295" w:semiHidden="0" w:name="Table Grid 4"/>
    <w:lsdException w:unhideWhenUsed="0" w:uiPriority="4294967295" w:semiHidden="0" w:name="Table Grid 5"/>
    <w:lsdException w:unhideWhenUsed="0" w:uiPriority="4294967295" w:semiHidden="0" w:name="Table Grid 6"/>
    <w:lsdException w:unhideWhenUsed="0" w:uiPriority="4294967295" w:semiHidden="0" w:name="Table Grid 7"/>
    <w:lsdException w:unhideWhenUsed="0" w:uiPriority="4294967295" w:semiHidden="0" w:name="Table Grid 8"/>
    <w:lsdException w:unhideWhenUsed="0" w:uiPriority="4294967295" w:semiHidden="0" w:name="Table List 1"/>
    <w:lsdException w:unhideWhenUsed="0" w:uiPriority="4294967295" w:semiHidden="0" w:name="Table List 2"/>
    <w:lsdException w:unhideWhenUsed="0" w:uiPriority="4294967295" w:semiHidden="0" w:name="Table List 3"/>
    <w:lsdException w:unhideWhenUsed="0" w:uiPriority="4294967295" w:semiHidden="0" w:name="Table List 4"/>
    <w:lsdException w:unhideWhenUsed="0" w:uiPriority="4294967295" w:semiHidden="0" w:name="Table List 5"/>
    <w:lsdException w:unhideWhenUsed="0" w:uiPriority="4294967295" w:semiHidden="0" w:name="Table List 6"/>
    <w:lsdException w:unhideWhenUsed="0" w:uiPriority="4294967295" w:semiHidden="0" w:name="Table List 7"/>
    <w:lsdException w:unhideWhenUsed="0" w:uiPriority="4294967295" w:semiHidden="0" w:name="Table List 8"/>
    <w:lsdException w:unhideWhenUsed="0" w:uiPriority="4294967295" w:semiHidden="0" w:name="Table 3D effects 1"/>
    <w:lsdException w:unhideWhenUsed="0" w:uiPriority="4294967295" w:semiHidden="0" w:name="Table 3D effects 2"/>
    <w:lsdException w:unhideWhenUsed="0" w:uiPriority="4294967295" w:semiHidden="0" w:name="Table 3D effects 3"/>
    <w:lsdException w:unhideWhenUsed="0" w:uiPriority="4294967295" w:semiHidden="0" w:name="Table Contemporary"/>
    <w:lsdException w:unhideWhenUsed="0" w:uiPriority="4294967295" w:semiHidden="0" w:name="Table Elegant"/>
    <w:lsdException w:unhideWhenUsed="0" w:uiPriority="4294967295" w:semiHidden="0" w:name="Table Professional"/>
    <w:lsdException w:unhideWhenUsed="0" w:uiPriority="4294967295" w:semiHidden="0" w:name="Table Subtle 1"/>
    <w:lsdException w:unhideWhenUsed="0" w:uiPriority="4294967295" w:semiHidden="0" w:name="Table Subtle 2"/>
    <w:lsdException w:unhideWhenUsed="0" w:uiPriority="4294967295" w:semiHidden="0" w:name="Table Web 1"/>
    <w:lsdException w:unhideWhenUsed="0" w:uiPriority="4294967295" w:semiHidden="0" w:name="Table Web 2"/>
    <w:lsdException w:unhideWhenUsed="0" w:uiPriority="4294967295" w:semiHidden="0" w:name="Table Web 3"/>
    <w:lsdException w:qFormat="1" w:unhideWhenUsed="0" w:uiPriority="0" w:semiHidden="0" w:name="Balloon Text"/>
    <w:lsdException w:unhideWhenUsed="0" w:uiPriority="4294967295" w:semiHidden="0" w:name="Table Grid"/>
    <w:lsdException w:unhideWhenUsed="0" w:uiPriority="4294967295"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locked/>
    <w:uiPriority w:val="0"/>
    <w:pPr>
      <w:keepNext/>
      <w:keepLines/>
      <w:widowControl w:val="0"/>
      <w:spacing w:line="576" w:lineRule="auto"/>
      <w:jc w:val="both"/>
      <w:outlineLvl w:val="0"/>
    </w:pPr>
    <w:rPr>
      <w:rFonts w:ascii="Calibri" w:hAnsi="Calibri" w:eastAsia="宋体" w:cs="Times New Roman"/>
      <w:b/>
      <w:kern w:val="44"/>
      <w:sz w:val="44"/>
      <w:szCs w:val="22"/>
      <w:lang w:val="en-US" w:eastAsia="zh-CN" w:bidi="ar-SA"/>
    </w:rPr>
  </w:style>
  <w:style w:type="paragraph" w:styleId="3">
    <w:name w:val="heading 2"/>
    <w:basedOn w:val="1"/>
    <w:next w:val="1"/>
    <w:qFormat/>
    <w:locked/>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locked/>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6">
    <w:name w:val="Normal Table"/>
    <w:uiPriority w:val="4294967295"/>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locked/>
    <w:uiPriority w:val="0"/>
    <w:pPr>
      <w:ind w:left="84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200" w:leftChars="200"/>
    </w:pPr>
  </w:style>
  <w:style w:type="character" w:styleId="13">
    <w:name w:val="FollowedHyperlink"/>
    <w:basedOn w:val="12"/>
    <w:uiPriority w:val="0"/>
    <w:rPr>
      <w:rFonts w:cs="Times New Roman"/>
      <w:color w:val="800080"/>
      <w:u w:val="single"/>
    </w:rPr>
  </w:style>
  <w:style w:type="character" w:styleId="14">
    <w:name w:val="Hyperlink"/>
    <w:basedOn w:val="12"/>
    <w:qFormat/>
    <w:uiPriority w:val="0"/>
    <w:rPr>
      <w:rFonts w:cs="Times New Roman"/>
      <w:color w:val="0000FF"/>
      <w:u w:val="single"/>
    </w:rPr>
  </w:style>
  <w:style w:type="character" w:styleId="15">
    <w:name w:val="annotation reference"/>
    <w:basedOn w:val="12"/>
    <w:qFormat/>
    <w:uiPriority w:val="0"/>
    <w:rPr>
      <w:rFonts w:cs="Times New Roman"/>
      <w:sz w:val="21"/>
      <w:szCs w:val="21"/>
    </w:rPr>
  </w:style>
  <w:style w:type="paragraph" w:customStyle="1" w:styleId="17">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styleId="1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25</Pages>
  <Words>0</Words>
  <Characters>11115</Characters>
  <Lines>0</Lines>
  <Paragraphs>270</Paragraphs>
  <TotalTime>675</TotalTime>
  <ScaleCrop>false</ScaleCrop>
  <LinksUpToDate>false</LinksUpToDate>
  <CharactersWithSpaces>14820</CharactersWithSpaces>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2021-04-28T01:40:00Z</dcterms:created>
  <dc:creator>dell</dc:creator>
  <cp:lastModifiedBy>Administrator</cp:lastModifiedBy>
  <cp:lastPrinted>2022-05-23T02:27:12Z</cp:lastPrinted>
  <dcterms:modified xsi:type="dcterms:W3CDTF">2022-05-23T08:32:30Z</dcterms:modified>
  <dc:title>附件1：厦门市同安区所属卫生事业单位</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BBB33F58C3C24EACA45BE9106E0C57BD</vt:lpwstr>
  </property>
</Properties>
</file>